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left w:w="0" w:type="dxa"/>
          <w:right w:w="0" w:type="dxa"/>
        </w:tblCellMar>
        <w:tblLook w:val="04A0" w:firstRow="1" w:lastRow="0" w:firstColumn="1" w:lastColumn="0" w:noHBand="0" w:noVBand="1"/>
      </w:tblPr>
      <w:tblGrid>
        <w:gridCol w:w="9750"/>
      </w:tblGrid>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p>
        </w:tc>
      </w:tr>
      <w:tr w:rsidR="003349F9" w:rsidRPr="003349F9" w:rsidTr="003349F9">
        <w:trPr>
          <w:tblCellSpacing w:w="15" w:type="dxa"/>
        </w:trPr>
        <w:tc>
          <w:tcPr>
            <w:tcW w:w="0" w:type="auto"/>
            <w:hideMark/>
          </w:tcPr>
          <w:p w:rsidR="00491ECF" w:rsidRPr="00491ECF" w:rsidRDefault="00491ECF" w:rsidP="00491ECF">
            <w:pPr>
              <w:autoSpaceDE w:val="0"/>
              <w:autoSpaceDN w:val="0"/>
              <w:adjustRightInd w:val="0"/>
              <w:spacing w:after="0" w:line="240" w:lineRule="auto"/>
              <w:jc w:val="center"/>
              <w:rPr>
                <w:rFonts w:ascii="Tahoma" w:hAnsi="Tahoma" w:cs="Tahoma"/>
                <w:b/>
                <w:bCs/>
                <w:sz w:val="32"/>
                <w:szCs w:val="26"/>
              </w:rPr>
            </w:pPr>
            <w:r w:rsidRPr="00491ECF">
              <w:rPr>
                <w:rFonts w:ascii="Tahoma" w:hAnsi="Tahoma" w:cs="Tahoma"/>
                <w:b/>
                <w:bCs/>
                <w:sz w:val="32"/>
                <w:szCs w:val="26"/>
              </w:rPr>
              <w:t>Výzva na predkladanie ponúk</w:t>
            </w:r>
          </w:p>
          <w:p w:rsidR="003349F9" w:rsidRPr="003349F9" w:rsidRDefault="00491ECF" w:rsidP="00491ECF">
            <w:pPr>
              <w:spacing w:after="0" w:line="240" w:lineRule="auto"/>
              <w:jc w:val="center"/>
              <w:rPr>
                <w:rFonts w:ascii="Tahoma" w:eastAsia="Times New Roman" w:hAnsi="Tahoma" w:cs="Tahoma"/>
                <w:b/>
                <w:bCs/>
                <w:sz w:val="27"/>
                <w:szCs w:val="27"/>
                <w:lang w:eastAsia="sk-SK"/>
              </w:rPr>
            </w:pPr>
            <w:r w:rsidRPr="00491ECF">
              <w:rPr>
                <w:rFonts w:ascii="Tahoma" w:hAnsi="Tahoma" w:cs="Tahoma"/>
                <w:b/>
                <w:bCs/>
                <w:szCs w:val="19"/>
              </w:rPr>
              <w:t>( podprahová zákazka na uskutočnenie stavebných prác )</w:t>
            </w:r>
          </w:p>
        </w:tc>
      </w:tr>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18"/>
                <w:szCs w:val="18"/>
                <w:lang w:eastAsia="sk-SK"/>
              </w:rPr>
            </w:pPr>
          </w:p>
        </w:tc>
      </w:tr>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18"/>
                <w:szCs w:val="18"/>
                <w:lang w:eastAsia="sk-SK"/>
              </w:rPr>
            </w:pPr>
          </w:p>
        </w:tc>
      </w:tr>
      <w:tr w:rsidR="003349F9" w:rsidRPr="003349F9" w:rsidTr="003349F9">
        <w:trPr>
          <w:trHeight w:val="150"/>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16"/>
                <w:szCs w:val="21"/>
                <w:lang w:eastAsia="sk-SK"/>
              </w:rPr>
            </w:pPr>
          </w:p>
        </w:tc>
      </w:tr>
      <w:tr w:rsidR="003349F9" w:rsidRPr="003349F9" w:rsidTr="003349F9">
        <w:trPr>
          <w:tblCellSpacing w:w="15" w:type="dxa"/>
        </w:trPr>
        <w:tc>
          <w:tcPr>
            <w:tcW w:w="0" w:type="auto"/>
            <w:hideMark/>
          </w:tcPr>
          <w:tbl>
            <w:tblPr>
              <w:tblW w:w="5000" w:type="pct"/>
              <w:tblCellSpacing w:w="37" w:type="dxa"/>
              <w:tblCellMar>
                <w:left w:w="0" w:type="dxa"/>
                <w:right w:w="0" w:type="dxa"/>
              </w:tblCellMar>
              <w:tblLook w:val="04A0" w:firstRow="1" w:lastRow="0" w:firstColumn="1" w:lastColumn="0" w:noHBand="0" w:noVBand="1"/>
            </w:tblPr>
            <w:tblGrid>
              <w:gridCol w:w="9690"/>
            </w:tblGrid>
            <w:tr w:rsidR="003349F9" w:rsidRPr="003349F9">
              <w:trPr>
                <w:tblCellSpacing w:w="37" w:type="dxa"/>
              </w:trPr>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 xml:space="preserve">Druh zákazky: </w:t>
                  </w:r>
                  <w:r w:rsidRPr="003349F9">
                    <w:rPr>
                      <w:rFonts w:ascii="Tahoma" w:eastAsia="Times New Roman" w:hAnsi="Tahoma" w:cs="Tahoma"/>
                      <w:sz w:val="18"/>
                      <w:szCs w:val="18"/>
                      <w:lang w:eastAsia="sk-SK"/>
                    </w:rPr>
                    <w:t>Stavebné práce.</w:t>
                  </w:r>
                </w:p>
              </w:tc>
            </w:tr>
          </w:tbl>
          <w:p w:rsidR="003349F9" w:rsidRPr="003349F9" w:rsidRDefault="003349F9" w:rsidP="003349F9">
            <w:pPr>
              <w:spacing w:after="0" w:line="240" w:lineRule="auto"/>
              <w:rPr>
                <w:rFonts w:ascii="Tahoma" w:eastAsia="Times New Roman" w:hAnsi="Tahoma" w:cs="Tahoma"/>
                <w:b/>
                <w:bCs/>
                <w:sz w:val="21"/>
                <w:szCs w:val="21"/>
                <w:lang w:eastAsia="sk-SK"/>
              </w:rPr>
            </w:pPr>
          </w:p>
        </w:tc>
      </w:tr>
      <w:tr w:rsidR="003349F9" w:rsidRPr="003349F9" w:rsidTr="003349F9">
        <w:trPr>
          <w:trHeight w:val="150"/>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16"/>
                <w:szCs w:val="21"/>
                <w:lang w:eastAsia="sk-SK"/>
              </w:rPr>
            </w:pPr>
          </w:p>
        </w:tc>
      </w:tr>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21"/>
                <w:szCs w:val="21"/>
                <w:lang w:eastAsia="sk-SK"/>
              </w:rPr>
            </w:pPr>
            <w:r w:rsidRPr="003349F9">
              <w:rPr>
                <w:rFonts w:ascii="Tahoma" w:eastAsia="Times New Roman" w:hAnsi="Tahoma" w:cs="Tahoma"/>
                <w:b/>
                <w:bCs/>
                <w:sz w:val="21"/>
                <w:szCs w:val="21"/>
                <w:lang w:eastAsia="sk-SK"/>
              </w:rPr>
              <w:t xml:space="preserve">ODDIEL I. VEREJNÝ OBSTARÁVATEĽ/OBSTARÁVATEĽ </w:t>
            </w:r>
          </w:p>
          <w:tbl>
            <w:tblPr>
              <w:tblW w:w="5000" w:type="pct"/>
              <w:tblCellSpacing w:w="37" w:type="dxa"/>
              <w:tblCellMar>
                <w:left w:w="0" w:type="dxa"/>
                <w:right w:w="0" w:type="dxa"/>
              </w:tblCellMar>
              <w:tblLook w:val="04A0" w:firstRow="1" w:lastRow="0" w:firstColumn="1" w:lastColumn="0" w:noHBand="0" w:noVBand="1"/>
            </w:tblPr>
            <w:tblGrid>
              <w:gridCol w:w="596"/>
              <w:gridCol w:w="9094"/>
            </w:tblGrid>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Názov, adresy a kontaktné miesto (miesta)</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83"/>
                  </w:tblGrid>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Úradný názov: </w:t>
                        </w:r>
                        <w:r w:rsidRPr="003349F9">
                          <w:rPr>
                            <w:rFonts w:ascii="Tahoma" w:eastAsia="Times New Roman" w:hAnsi="Tahoma" w:cs="Tahoma"/>
                            <w:b/>
                            <w:bCs/>
                            <w:sz w:val="18"/>
                            <w:szCs w:val="18"/>
                            <w:lang w:eastAsia="sk-SK"/>
                          </w:rPr>
                          <w:t>Obec Šurianky</w:t>
                        </w:r>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IČO: 00308498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Poštová adresa: Hlavná 54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PSČ: 95126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Mesto/obec: Šurianky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Štát: Slovenská republika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b/>
                            <w:bCs/>
                            <w:sz w:val="18"/>
                            <w:szCs w:val="18"/>
                            <w:lang w:eastAsia="sk-SK"/>
                          </w:rPr>
                          <w:t xml:space="preserve">Kontaktné miesto (miesta): </w:t>
                        </w:r>
                        <w:r w:rsidRPr="003349F9">
                          <w:rPr>
                            <w:rFonts w:ascii="Tahoma" w:eastAsia="Times New Roman" w:hAnsi="Tahoma" w:cs="Tahoma"/>
                            <w:sz w:val="18"/>
                            <w:szCs w:val="18"/>
                            <w:lang w:eastAsia="sk-SK"/>
                          </w:rPr>
                          <w:t xml:space="preserve">Obecný úrad, Hlavná 54, 951 26 Šurianky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Kontaktná osoba: Viliam </w:t>
                        </w:r>
                        <w:proofErr w:type="spellStart"/>
                        <w:r w:rsidRPr="003349F9">
                          <w:rPr>
                            <w:rFonts w:ascii="Tahoma" w:eastAsia="Times New Roman" w:hAnsi="Tahoma" w:cs="Tahoma"/>
                            <w:sz w:val="18"/>
                            <w:szCs w:val="18"/>
                            <w:lang w:eastAsia="sk-SK"/>
                          </w:rPr>
                          <w:t>Búcora</w:t>
                        </w:r>
                        <w:proofErr w:type="spellEnd"/>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Telefón: +421 377896027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Fax: +421 377896027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E-mail: </w:t>
                        </w:r>
                        <w:proofErr w:type="spellStart"/>
                        <w:r w:rsidRPr="003349F9">
                          <w:rPr>
                            <w:rFonts w:ascii="Tahoma" w:eastAsia="Times New Roman" w:hAnsi="Tahoma" w:cs="Tahoma"/>
                            <w:sz w:val="18"/>
                            <w:szCs w:val="18"/>
                            <w:lang w:eastAsia="sk-SK"/>
                          </w:rPr>
                          <w:t>ousurianky@stonline.sk</w:t>
                        </w:r>
                        <w:proofErr w:type="spellEnd"/>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b/>
                            <w:bCs/>
                            <w:sz w:val="18"/>
                            <w:szCs w:val="18"/>
                            <w:lang w:eastAsia="sk-SK"/>
                          </w:rPr>
                          <w:t xml:space="preserve">Adresa hlavnej stránky verejného obstarávateľa (URL): </w:t>
                        </w:r>
                        <w:r w:rsidRPr="003349F9">
                          <w:rPr>
                            <w:rFonts w:ascii="Tahoma" w:eastAsia="Times New Roman" w:hAnsi="Tahoma" w:cs="Tahoma"/>
                            <w:sz w:val="18"/>
                            <w:szCs w:val="18"/>
                            <w:lang w:eastAsia="sk-SK"/>
                          </w:rPr>
                          <w:t xml:space="preserve">http://www.obecsurianky.sk  </w:t>
                        </w:r>
                      </w:p>
                    </w:tc>
                  </w:tr>
                </w:tbl>
                <w:p w:rsidR="003349F9" w:rsidRPr="003349F9" w:rsidRDefault="003349F9" w:rsidP="003349F9">
                  <w:pPr>
                    <w:spacing w:after="0" w:line="240" w:lineRule="auto"/>
                    <w:rPr>
                      <w:rFonts w:ascii="Tahoma" w:eastAsia="Times New Roman" w:hAnsi="Tahoma" w:cs="Tahoma"/>
                      <w:sz w:val="24"/>
                      <w:szCs w:val="24"/>
                      <w:lang w:eastAsia="sk-SK"/>
                    </w:rPr>
                  </w:pP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Ďalšie informácie možno získať na:</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18"/>
                      <w:szCs w:val="18"/>
                      <w:lang w:eastAsia="sk-SK"/>
                    </w:rPr>
                    <w:t>inom mieste: vyplňte prílohu A.I.</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 xml:space="preserve">Príloha A.I) Adresa a kontaktné miesto (miesta), na ktorých možno získať ďalšie informácie </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83"/>
                  </w:tblGrid>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Úradný názov: </w:t>
                        </w:r>
                        <w:r w:rsidRPr="003349F9">
                          <w:rPr>
                            <w:rFonts w:ascii="Tahoma" w:eastAsia="Times New Roman" w:hAnsi="Tahoma" w:cs="Tahoma"/>
                            <w:b/>
                            <w:bCs/>
                            <w:sz w:val="18"/>
                            <w:szCs w:val="18"/>
                            <w:lang w:eastAsia="sk-SK"/>
                          </w:rPr>
                          <w:t>PROUNION, a.s.</w:t>
                        </w:r>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IČO: 45597103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Poštová adresa: Piaristická 2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PSČ: 94901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Mesto/Obec: Nitra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Štát: Slovenská republika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b/>
                            <w:bCs/>
                            <w:sz w:val="18"/>
                            <w:szCs w:val="18"/>
                            <w:lang w:eastAsia="sk-SK"/>
                          </w:rPr>
                          <w:t xml:space="preserve">Kontaktné miesto (miesta): </w:t>
                        </w:r>
                        <w:r w:rsidRPr="003349F9">
                          <w:rPr>
                            <w:rFonts w:ascii="Tahoma" w:eastAsia="Times New Roman" w:hAnsi="Tahoma" w:cs="Tahoma"/>
                            <w:sz w:val="18"/>
                            <w:szCs w:val="18"/>
                            <w:lang w:eastAsia="sk-SK"/>
                          </w:rPr>
                          <w:t xml:space="preserve">Piaristická 2, 949 01 Nitra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Kontaktná osoba: Ing. Andrej </w:t>
                        </w:r>
                        <w:proofErr w:type="spellStart"/>
                        <w:r w:rsidRPr="003349F9">
                          <w:rPr>
                            <w:rFonts w:ascii="Tahoma" w:eastAsia="Times New Roman" w:hAnsi="Tahoma" w:cs="Tahoma"/>
                            <w:sz w:val="18"/>
                            <w:szCs w:val="18"/>
                            <w:lang w:eastAsia="sk-SK"/>
                          </w:rPr>
                          <w:t>Gero</w:t>
                        </w:r>
                        <w:proofErr w:type="spellEnd"/>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Mobil: +421 904111456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Telefón: +421 904111456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Fax: +421 376542421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E-mail: </w:t>
                        </w:r>
                        <w:proofErr w:type="spellStart"/>
                        <w:r w:rsidRPr="003349F9">
                          <w:rPr>
                            <w:rFonts w:ascii="Tahoma" w:eastAsia="Times New Roman" w:hAnsi="Tahoma" w:cs="Tahoma"/>
                            <w:sz w:val="18"/>
                            <w:szCs w:val="18"/>
                            <w:lang w:eastAsia="sk-SK"/>
                          </w:rPr>
                          <w:t>gero@prounion.sk</w:t>
                        </w:r>
                        <w:proofErr w:type="spellEnd"/>
                        <w:r w:rsidRPr="003349F9">
                          <w:rPr>
                            <w:rFonts w:ascii="Tahoma" w:eastAsia="Times New Roman" w:hAnsi="Tahoma" w:cs="Tahoma"/>
                            <w:sz w:val="18"/>
                            <w:szCs w:val="18"/>
                            <w:lang w:eastAsia="sk-SK"/>
                          </w:rPr>
                          <w:t xml:space="preserve">  </w:t>
                        </w:r>
                      </w:p>
                    </w:tc>
                  </w:tr>
                </w:tbl>
                <w:p w:rsidR="003349F9" w:rsidRPr="003349F9" w:rsidRDefault="003349F9" w:rsidP="003349F9">
                  <w:pPr>
                    <w:spacing w:after="0" w:line="240" w:lineRule="auto"/>
                    <w:rPr>
                      <w:rFonts w:ascii="Tahoma" w:eastAsia="Times New Roman" w:hAnsi="Tahoma" w:cs="Tahoma"/>
                      <w:sz w:val="24"/>
                      <w:szCs w:val="24"/>
                      <w:lang w:eastAsia="sk-SK"/>
                    </w:rPr>
                  </w:pP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Súťažné a doplňujúce podklady možno získať na:</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18"/>
                      <w:szCs w:val="18"/>
                      <w:lang w:eastAsia="sk-SK"/>
                    </w:rPr>
                    <w:t>inom mieste: vyplňte prílohu A.II.</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 xml:space="preserve">Príloha A.II) Adresa a kontaktné miesto (miesta), na ktorých možno získať súťažné podklady a doplňujúce dokumenty </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83"/>
                  </w:tblGrid>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Úradný názov: </w:t>
                        </w:r>
                        <w:r w:rsidRPr="003349F9">
                          <w:rPr>
                            <w:rFonts w:ascii="Tahoma" w:eastAsia="Times New Roman" w:hAnsi="Tahoma" w:cs="Tahoma"/>
                            <w:b/>
                            <w:bCs/>
                            <w:sz w:val="18"/>
                            <w:szCs w:val="18"/>
                            <w:lang w:eastAsia="sk-SK"/>
                          </w:rPr>
                          <w:t>PROUNION, a.s.</w:t>
                        </w:r>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IČO: 45597103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Poštová adresa: Piaristická 2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PSČ: 94901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Mesto/Obec: Nitra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Štát: Slovenská republika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b/>
                            <w:bCs/>
                            <w:sz w:val="18"/>
                            <w:szCs w:val="18"/>
                            <w:lang w:eastAsia="sk-SK"/>
                          </w:rPr>
                          <w:t xml:space="preserve">Kontaktné miesto (miesta): </w:t>
                        </w:r>
                        <w:r w:rsidRPr="003349F9">
                          <w:rPr>
                            <w:rFonts w:ascii="Tahoma" w:eastAsia="Times New Roman" w:hAnsi="Tahoma" w:cs="Tahoma"/>
                            <w:sz w:val="18"/>
                            <w:szCs w:val="18"/>
                            <w:lang w:eastAsia="sk-SK"/>
                          </w:rPr>
                          <w:t xml:space="preserve">Piaristická 2, 949 01 Nitra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Kontaktná osoba: Ing. Andrej </w:t>
                        </w:r>
                        <w:proofErr w:type="spellStart"/>
                        <w:r w:rsidRPr="003349F9">
                          <w:rPr>
                            <w:rFonts w:ascii="Tahoma" w:eastAsia="Times New Roman" w:hAnsi="Tahoma" w:cs="Tahoma"/>
                            <w:sz w:val="18"/>
                            <w:szCs w:val="18"/>
                            <w:lang w:eastAsia="sk-SK"/>
                          </w:rPr>
                          <w:t>Gero</w:t>
                        </w:r>
                        <w:proofErr w:type="spellEnd"/>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Mobil: +421 904111456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Telefón: +421 904111456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Fax: +421 376542421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lastRenderedPageBreak/>
                          <w:t xml:space="preserve">E-mail: </w:t>
                        </w:r>
                        <w:proofErr w:type="spellStart"/>
                        <w:r w:rsidRPr="003349F9">
                          <w:rPr>
                            <w:rFonts w:ascii="Tahoma" w:eastAsia="Times New Roman" w:hAnsi="Tahoma" w:cs="Tahoma"/>
                            <w:sz w:val="18"/>
                            <w:szCs w:val="18"/>
                            <w:lang w:eastAsia="sk-SK"/>
                          </w:rPr>
                          <w:t>gero@prounion.sk</w:t>
                        </w:r>
                        <w:proofErr w:type="spellEnd"/>
                        <w:r w:rsidRPr="003349F9">
                          <w:rPr>
                            <w:rFonts w:ascii="Tahoma" w:eastAsia="Times New Roman" w:hAnsi="Tahoma" w:cs="Tahoma"/>
                            <w:sz w:val="18"/>
                            <w:szCs w:val="18"/>
                            <w:lang w:eastAsia="sk-SK"/>
                          </w:rPr>
                          <w:t xml:space="preserve">  </w:t>
                        </w:r>
                      </w:p>
                    </w:tc>
                  </w:tr>
                </w:tbl>
                <w:p w:rsidR="003349F9" w:rsidRPr="003349F9" w:rsidRDefault="003349F9" w:rsidP="003349F9">
                  <w:pPr>
                    <w:spacing w:after="0" w:line="240" w:lineRule="auto"/>
                    <w:rPr>
                      <w:rFonts w:ascii="Tahoma" w:eastAsia="Times New Roman" w:hAnsi="Tahoma" w:cs="Tahoma"/>
                      <w:sz w:val="24"/>
                      <w:szCs w:val="24"/>
                      <w:lang w:eastAsia="sk-SK"/>
                    </w:rPr>
                  </w:pP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Ponuky budú doručené na:</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18"/>
                      <w:szCs w:val="18"/>
                      <w:lang w:eastAsia="sk-SK"/>
                    </w:rPr>
                    <w:t>iné miesto: vyplňte prílohu A.III.</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Príloha A.III) Adresa a kontaktné miesto, na ktoré musia byť doručené ponuky</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83"/>
                  </w:tblGrid>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Úradný názov: </w:t>
                        </w:r>
                        <w:r w:rsidRPr="003349F9">
                          <w:rPr>
                            <w:rFonts w:ascii="Tahoma" w:eastAsia="Times New Roman" w:hAnsi="Tahoma" w:cs="Tahoma"/>
                            <w:b/>
                            <w:bCs/>
                            <w:sz w:val="18"/>
                            <w:szCs w:val="18"/>
                            <w:lang w:eastAsia="sk-SK"/>
                          </w:rPr>
                          <w:t>PROUNION, a.s.</w:t>
                        </w:r>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IČO: 45597103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Poštová adresa: Piaristická 2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PSČ: 94901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Mesto/Obec: Nitra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Štát: Slovenská republika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b/>
                            <w:bCs/>
                            <w:sz w:val="18"/>
                            <w:szCs w:val="18"/>
                            <w:lang w:eastAsia="sk-SK"/>
                          </w:rPr>
                          <w:t xml:space="preserve">Kontaktné miesto (miesta): </w:t>
                        </w:r>
                        <w:r w:rsidRPr="003349F9">
                          <w:rPr>
                            <w:rFonts w:ascii="Tahoma" w:eastAsia="Times New Roman" w:hAnsi="Tahoma" w:cs="Tahoma"/>
                            <w:sz w:val="18"/>
                            <w:szCs w:val="18"/>
                            <w:lang w:eastAsia="sk-SK"/>
                          </w:rPr>
                          <w:t xml:space="preserve">Piaristická 2, 949 01 Nitra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Kontaktná osoba: Ing. Andrej </w:t>
                        </w:r>
                        <w:proofErr w:type="spellStart"/>
                        <w:r w:rsidRPr="003349F9">
                          <w:rPr>
                            <w:rFonts w:ascii="Tahoma" w:eastAsia="Times New Roman" w:hAnsi="Tahoma" w:cs="Tahoma"/>
                            <w:sz w:val="18"/>
                            <w:szCs w:val="18"/>
                            <w:lang w:eastAsia="sk-SK"/>
                          </w:rPr>
                          <w:t>Gero</w:t>
                        </w:r>
                        <w:proofErr w:type="spellEnd"/>
                        <w:r w:rsidRPr="003349F9">
                          <w:rPr>
                            <w:rFonts w:ascii="Tahoma" w:eastAsia="Times New Roman" w:hAnsi="Tahoma" w:cs="Tahoma"/>
                            <w:sz w:val="18"/>
                            <w:szCs w:val="18"/>
                            <w:lang w:eastAsia="sk-SK"/>
                          </w:rPr>
                          <w:t xml:space="preserve">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Mobil: +421 904111456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Telefón: +421 904111456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Fax: +421 376542421  </w:t>
                        </w:r>
                      </w:p>
                    </w:tc>
                  </w:tr>
                  <w:tr w:rsidR="003349F9" w:rsidRP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sz w:val="18"/>
                            <w:szCs w:val="18"/>
                            <w:lang w:eastAsia="sk-SK"/>
                          </w:rPr>
                        </w:pPr>
                        <w:r w:rsidRPr="003349F9">
                          <w:rPr>
                            <w:rFonts w:ascii="Tahoma" w:eastAsia="Times New Roman" w:hAnsi="Tahoma" w:cs="Tahoma"/>
                            <w:sz w:val="18"/>
                            <w:szCs w:val="18"/>
                            <w:lang w:eastAsia="sk-SK"/>
                          </w:rPr>
                          <w:t xml:space="preserve">E-mail: </w:t>
                        </w:r>
                        <w:proofErr w:type="spellStart"/>
                        <w:r w:rsidRPr="003349F9">
                          <w:rPr>
                            <w:rFonts w:ascii="Tahoma" w:eastAsia="Times New Roman" w:hAnsi="Tahoma" w:cs="Tahoma"/>
                            <w:sz w:val="18"/>
                            <w:szCs w:val="18"/>
                            <w:lang w:eastAsia="sk-SK"/>
                          </w:rPr>
                          <w:t>gero@prounion.sk</w:t>
                        </w:r>
                        <w:proofErr w:type="spellEnd"/>
                        <w:r w:rsidRPr="003349F9">
                          <w:rPr>
                            <w:rFonts w:ascii="Tahoma" w:eastAsia="Times New Roman" w:hAnsi="Tahoma" w:cs="Tahoma"/>
                            <w:sz w:val="18"/>
                            <w:szCs w:val="18"/>
                            <w:lang w:eastAsia="sk-SK"/>
                          </w:rPr>
                          <w:t xml:space="preserve">  </w:t>
                        </w:r>
                      </w:p>
                    </w:tc>
                  </w:tr>
                </w:tbl>
                <w:p w:rsidR="003349F9" w:rsidRPr="003349F9" w:rsidRDefault="003349F9" w:rsidP="003349F9">
                  <w:pPr>
                    <w:spacing w:after="0" w:line="240" w:lineRule="auto"/>
                    <w:rPr>
                      <w:rFonts w:ascii="Tahoma" w:eastAsia="Times New Roman" w:hAnsi="Tahoma" w:cs="Tahoma"/>
                      <w:sz w:val="24"/>
                      <w:szCs w:val="24"/>
                      <w:lang w:eastAsia="sk-SK"/>
                    </w:rPr>
                  </w:pP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Druh verejného obstarávateľa/obstarávateľa</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I.2.1.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Druh verejného obstarávateľa/obstarávateľa</w:t>
                  </w:r>
                  <w:r w:rsidRPr="003349F9">
                    <w:rPr>
                      <w:rFonts w:ascii="Tahoma" w:eastAsia="Times New Roman" w:hAnsi="Tahoma" w:cs="Tahoma"/>
                      <w:b/>
                      <w:bCs/>
                      <w:sz w:val="18"/>
                      <w:szCs w:val="18"/>
                      <w:lang w:eastAsia="sk-SK"/>
                    </w:rPr>
                    <w:br/>
                  </w:r>
                  <w:r w:rsidRPr="003349F9">
                    <w:rPr>
                      <w:rFonts w:ascii="Tahoma" w:eastAsia="Times New Roman" w:hAnsi="Tahoma" w:cs="Tahoma"/>
                      <w:sz w:val="18"/>
                      <w:szCs w:val="18"/>
                      <w:lang w:eastAsia="sk-SK"/>
                    </w:rPr>
                    <w:t>Regionálny alebo miestny orgán</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Zatriedenie obstarávajúceho subjektu podľa zákona:</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 6 ods. 1 písm. b).</w:t>
                  </w:r>
                </w:p>
              </w:tc>
            </w:tr>
          </w:tbl>
          <w:p w:rsidR="003349F9" w:rsidRPr="003349F9" w:rsidRDefault="003349F9" w:rsidP="003349F9">
            <w:pPr>
              <w:spacing w:after="0" w:line="240" w:lineRule="auto"/>
              <w:rPr>
                <w:rFonts w:ascii="Tahoma" w:eastAsia="Times New Roman" w:hAnsi="Tahoma" w:cs="Tahoma"/>
                <w:b/>
                <w:bCs/>
                <w:sz w:val="21"/>
                <w:szCs w:val="21"/>
                <w:lang w:eastAsia="sk-SK"/>
              </w:rPr>
            </w:pPr>
          </w:p>
        </w:tc>
      </w:tr>
      <w:tr w:rsidR="003349F9" w:rsidRPr="003349F9" w:rsidTr="003349F9">
        <w:trPr>
          <w:trHeight w:val="150"/>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16"/>
                <w:szCs w:val="21"/>
                <w:lang w:eastAsia="sk-SK"/>
              </w:rPr>
            </w:pPr>
          </w:p>
        </w:tc>
      </w:tr>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21"/>
                <w:szCs w:val="21"/>
                <w:lang w:eastAsia="sk-SK"/>
              </w:rPr>
            </w:pPr>
            <w:r w:rsidRPr="003349F9">
              <w:rPr>
                <w:rFonts w:ascii="Tahoma" w:eastAsia="Times New Roman" w:hAnsi="Tahoma" w:cs="Tahoma"/>
                <w:b/>
                <w:bCs/>
                <w:sz w:val="21"/>
                <w:szCs w:val="21"/>
                <w:lang w:eastAsia="sk-SK"/>
              </w:rPr>
              <w:t xml:space="preserve">ODDIEL II. PREDMET ZÁKAZKY </w:t>
            </w:r>
          </w:p>
          <w:tbl>
            <w:tblPr>
              <w:tblW w:w="5000" w:type="pct"/>
              <w:tblCellSpacing w:w="37" w:type="dxa"/>
              <w:tblCellMar>
                <w:left w:w="0" w:type="dxa"/>
                <w:right w:w="0" w:type="dxa"/>
              </w:tblCellMar>
              <w:tblLook w:val="04A0" w:firstRow="1" w:lastRow="0" w:firstColumn="1" w:lastColumn="0" w:noHBand="0" w:noVBand="1"/>
            </w:tblPr>
            <w:tblGrid>
              <w:gridCol w:w="683"/>
              <w:gridCol w:w="9007"/>
            </w:tblGrid>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Opis</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II.1.1.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Názov zákazky</w:t>
                  </w:r>
                  <w:r w:rsidRPr="003349F9">
                    <w:rPr>
                      <w:rFonts w:ascii="Tahoma" w:eastAsia="Times New Roman" w:hAnsi="Tahoma" w:cs="Tahoma"/>
                      <w:b/>
                      <w:bCs/>
                      <w:sz w:val="18"/>
                      <w:szCs w:val="18"/>
                      <w:lang w:eastAsia="sk-SK"/>
                    </w:rPr>
                    <w:br/>
                  </w:r>
                  <w:r w:rsidRPr="003349F9">
                    <w:rPr>
                      <w:rFonts w:ascii="Tahoma" w:eastAsia="Times New Roman" w:hAnsi="Tahoma" w:cs="Tahoma"/>
                      <w:sz w:val="20"/>
                      <w:szCs w:val="20"/>
                      <w:bdr w:val="none" w:sz="0" w:space="0" w:color="auto" w:frame="1"/>
                      <w:lang w:eastAsia="sk-SK"/>
                    </w:rPr>
                    <w:t>Revitalizácia verejných priestranstiev v obci Šurianky</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II.1.2.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Druh zákazky a miesto uskutočňovania stavebných prác, dodania tovarov alebo poskytovania služieb</w:t>
                  </w:r>
                  <w:r w:rsidRPr="003349F9">
                    <w:rPr>
                      <w:rFonts w:ascii="Tahoma" w:eastAsia="Times New Roman" w:hAnsi="Tahoma" w:cs="Tahoma"/>
                      <w:b/>
                      <w:bCs/>
                      <w:sz w:val="18"/>
                      <w:szCs w:val="18"/>
                      <w:lang w:eastAsia="sk-SK"/>
                    </w:rPr>
                    <w:br/>
                    <w:t>a) Stavebné práce</w:t>
                  </w:r>
                  <w:r w:rsidRPr="003349F9">
                    <w:rPr>
                      <w:rFonts w:ascii="Tahoma" w:eastAsia="Times New Roman" w:hAnsi="Tahoma" w:cs="Tahoma"/>
                      <w:sz w:val="18"/>
                      <w:szCs w:val="18"/>
                      <w:lang w:eastAsia="sk-SK"/>
                    </w:rPr>
                    <w:t>.</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a)</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Stavebné práce</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Hlavné stavenisko alebo miesto uskutočňovania stavebných prác</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katastrálne územie obce Šurianky</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b)</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Tovary</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c)</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Služby</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NUTS kód:</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25"/>
                    <w:gridCol w:w="8665"/>
                  </w:tblGrid>
                  <w:tr w:rsidR="003349F9" w:rsidRPr="003349F9">
                    <w:trPr>
                      <w:tblCellSpacing w:w="0"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SK023.</w:t>
                        </w:r>
                      </w:p>
                    </w:tc>
                  </w:tr>
                </w:tbl>
                <w:p w:rsidR="003349F9" w:rsidRPr="003349F9" w:rsidRDefault="003349F9" w:rsidP="003349F9">
                  <w:pPr>
                    <w:spacing w:after="0" w:line="240" w:lineRule="auto"/>
                    <w:rPr>
                      <w:rFonts w:ascii="Tahoma" w:eastAsia="Times New Roman" w:hAnsi="Tahoma" w:cs="Tahoma"/>
                      <w:sz w:val="24"/>
                      <w:szCs w:val="24"/>
                      <w:lang w:eastAsia="sk-SK"/>
                    </w:rPr>
                  </w:pP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II.1.3.</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Stručný opis zákazky alebo nákupu (nákupov)</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20"/>
                      <w:szCs w:val="20"/>
                      <w:bdr w:val="none" w:sz="0" w:space="0" w:color="auto" w:frame="1"/>
                      <w:lang w:eastAsia="sk-SK"/>
                    </w:rPr>
                    <w:t xml:space="preserve">Predmet pozostáva z realizácie nasledujúcich častí: A Obecný park, 9500m2 navrhujeme </w:t>
                  </w:r>
                  <w:proofErr w:type="spellStart"/>
                  <w:r w:rsidRPr="003349F9">
                    <w:rPr>
                      <w:rFonts w:ascii="Tahoma" w:eastAsia="Times New Roman" w:hAnsi="Tahoma" w:cs="Tahoma"/>
                      <w:sz w:val="20"/>
                      <w:szCs w:val="20"/>
                      <w:bdr w:val="none" w:sz="0" w:space="0" w:color="auto" w:frame="1"/>
                      <w:lang w:eastAsia="sk-SK"/>
                    </w:rPr>
                    <w:t>orezy</w:t>
                  </w:r>
                  <w:proofErr w:type="spellEnd"/>
                  <w:r w:rsidRPr="003349F9">
                    <w:rPr>
                      <w:rFonts w:ascii="Tahoma" w:eastAsia="Times New Roman" w:hAnsi="Tahoma" w:cs="Tahoma"/>
                      <w:sz w:val="20"/>
                      <w:szCs w:val="20"/>
                      <w:bdr w:val="none" w:sz="0" w:space="0" w:color="auto" w:frame="1"/>
                      <w:lang w:eastAsia="sk-SK"/>
                    </w:rPr>
                    <w:t xml:space="preserve"> 10 stromov, odstránenie starých košov na odpad a doplnenie nových odpadových košov v počte 5 kusov, súčasťou riešenia tejto plochy je aj inštalácia vizitiek na drevených stojanoch označujúcich druhy drevín, ktoré sa v parku nachádzajú v počte 10 kusov B Obnova existujúceho altánku oceľovú konštrukciu altánku navrhujeme ponechať v pôvodnom stave, povrchovo upraviť novým exteriérovým náterom v čiernej farbe, namontovať novú plechovú strešnú krytinu, ktorá bude z čelnej strany prekrytá dreveným obkladom 120 x 20mm </w:t>
                  </w:r>
                  <w:proofErr w:type="spellStart"/>
                  <w:r w:rsidRPr="003349F9">
                    <w:rPr>
                      <w:rFonts w:ascii="Tahoma" w:eastAsia="Times New Roman" w:hAnsi="Tahoma" w:cs="Tahoma"/>
                      <w:sz w:val="20"/>
                      <w:szCs w:val="20"/>
                      <w:bdr w:val="none" w:sz="0" w:space="0" w:color="auto" w:frame="1"/>
                      <w:lang w:eastAsia="sk-SK"/>
                    </w:rPr>
                    <w:t>trohuhoľníkového</w:t>
                  </w:r>
                  <w:proofErr w:type="spellEnd"/>
                  <w:r w:rsidRPr="003349F9">
                    <w:rPr>
                      <w:rFonts w:ascii="Tahoma" w:eastAsia="Times New Roman" w:hAnsi="Tahoma" w:cs="Tahoma"/>
                      <w:sz w:val="20"/>
                      <w:szCs w:val="20"/>
                      <w:bdr w:val="none" w:sz="0" w:space="0" w:color="auto" w:frame="1"/>
                      <w:lang w:eastAsia="sk-SK"/>
                    </w:rPr>
                    <w:t xml:space="preserve"> tvaru. Zadná strana altánku bude obložená dreveným obkladom 250 x 70mm. Drevené časti konštrukcie budú povrchovo upravené transparentným náterom, kde bude zvýraznená prírodná štruktúra dreva. Betónové spodné časti existujúcej konštrukcie budú obložené obkladom z lomového kameňa. C obklad betónového kvetináča lomovým kameňom existujúci betónový kvetináč 6x3m, výška 50cm navrhujeme obložiť obkladom z lomového kameňa D, E, F, G, J Plochy určené na výsadbu zelene 52m2, 7m2, 855m2, 78m2, 35m2 v rámci týchto plôch navrhujeme výsadbu novej zelene H spevnená plocha táto zóna je určená na vybudovanie plochy pre obecné trhovisko. Plocha 135m2 bude vydláždená zámkovou dlažbou (30m2 bude potrebné v rámci búracích prác odstrániť existujúci asfalt). Plocha bude doplnená o nosný prvok na inštaláciu informačných tabúľ, na princípe obkladu pôvodného oplotenia konštrukciou z drevených dosák, v prírodnej farbe dreva I spevnená plocha okolo studne túto plochu navrhujeme vydláždiť dlažbou identického druhu ako plochu pre obecné </w:t>
                  </w:r>
                  <w:r w:rsidRPr="003349F9">
                    <w:rPr>
                      <w:rFonts w:ascii="Tahoma" w:eastAsia="Times New Roman" w:hAnsi="Tahoma" w:cs="Tahoma"/>
                      <w:sz w:val="20"/>
                      <w:szCs w:val="20"/>
                      <w:bdr w:val="none" w:sz="0" w:space="0" w:color="auto" w:frame="1"/>
                      <w:lang w:eastAsia="sk-SK"/>
                    </w:rPr>
                    <w:lastRenderedPageBreak/>
                    <w:t xml:space="preserve">trhovisko, v kruhovom pôdorysnom tvare, pôvodnú objekt studne navrhujeme opatriť ochranným exteriérovým náterom K Plocha určená na výsadbu zelene, 22m2, a osadenie stožiaru na vlajky v počte 3. kusy L Informačná tabuľa V rámci tejto plochy navrhujeme umiestniť informačnú </w:t>
                  </w:r>
                  <w:proofErr w:type="spellStart"/>
                  <w:r w:rsidRPr="003349F9">
                    <w:rPr>
                      <w:rFonts w:ascii="Tahoma" w:eastAsia="Times New Roman" w:hAnsi="Tahoma" w:cs="Tahoma"/>
                      <w:sz w:val="20"/>
                      <w:szCs w:val="20"/>
                      <w:bdr w:val="none" w:sz="0" w:space="0" w:color="auto" w:frame="1"/>
                      <w:lang w:eastAsia="sk-SK"/>
                    </w:rPr>
                    <w:t>dvojtabuľu</w:t>
                  </w:r>
                  <w:proofErr w:type="spellEnd"/>
                  <w:r w:rsidRPr="003349F9">
                    <w:rPr>
                      <w:rFonts w:ascii="Tahoma" w:eastAsia="Times New Roman" w:hAnsi="Tahoma" w:cs="Tahoma"/>
                      <w:sz w:val="20"/>
                      <w:szCs w:val="20"/>
                      <w:bdr w:val="none" w:sz="0" w:space="0" w:color="auto" w:frame="1"/>
                      <w:lang w:eastAsia="sk-SK"/>
                    </w:rPr>
                    <w:t xml:space="preserve"> na princípe drevenej hranolovej konštrukcie s ochrannou strieškou M plocha určená na osadenie </w:t>
                  </w:r>
                  <w:proofErr w:type="spellStart"/>
                  <w:r w:rsidRPr="003349F9">
                    <w:rPr>
                      <w:rFonts w:ascii="Tahoma" w:eastAsia="Times New Roman" w:hAnsi="Tahoma" w:cs="Tahoma"/>
                      <w:sz w:val="20"/>
                      <w:szCs w:val="20"/>
                      <w:bdr w:val="none" w:sz="0" w:space="0" w:color="auto" w:frame="1"/>
                      <w:lang w:eastAsia="sk-SK"/>
                    </w:rPr>
                    <w:t>mobiliáru</w:t>
                  </w:r>
                  <w:proofErr w:type="spellEnd"/>
                  <w:r w:rsidRPr="003349F9">
                    <w:rPr>
                      <w:rFonts w:ascii="Tahoma" w:eastAsia="Times New Roman" w:hAnsi="Tahoma" w:cs="Tahoma"/>
                      <w:sz w:val="20"/>
                      <w:szCs w:val="20"/>
                      <w:bdr w:val="none" w:sz="0" w:space="0" w:color="auto" w:frame="1"/>
                      <w:lang w:eastAsia="sk-SK"/>
                    </w:rPr>
                    <w:t xml:space="preserve"> V rámci tejto plochy navrhujeme osadiť lavičky s operadlom v počte 2 kusy a jeden odpadkový kôš O Obecný cintorín, 1965m2 V rámci tejto plochy navrhujeme vybudovať objekt pre umiestnenie kontajnerov na odpad a osadiť nový </w:t>
                  </w:r>
                  <w:proofErr w:type="spellStart"/>
                  <w:r w:rsidRPr="003349F9">
                    <w:rPr>
                      <w:rFonts w:ascii="Tahoma" w:eastAsia="Times New Roman" w:hAnsi="Tahoma" w:cs="Tahoma"/>
                      <w:sz w:val="20"/>
                      <w:szCs w:val="20"/>
                      <w:bdr w:val="none" w:sz="0" w:space="0" w:color="auto" w:frame="1"/>
                      <w:lang w:eastAsia="sk-SK"/>
                    </w:rPr>
                    <w:t>mobiliár</w:t>
                  </w:r>
                  <w:proofErr w:type="spellEnd"/>
                  <w:r w:rsidRPr="003349F9">
                    <w:rPr>
                      <w:rFonts w:ascii="Tahoma" w:eastAsia="Times New Roman" w:hAnsi="Tahoma" w:cs="Tahoma"/>
                      <w:sz w:val="20"/>
                      <w:szCs w:val="20"/>
                      <w:bdr w:val="none" w:sz="0" w:space="0" w:color="auto" w:frame="1"/>
                      <w:lang w:eastAsia="sk-SK"/>
                    </w:rPr>
                    <w:t xml:space="preserve"> v počte: Lavičky s operadlom, 6ks, sedacia časť s drevených dosák (alt. hranolov) v prírodnej farbe dreva Odpadkový kôš, 2ks, obklad koša s drevených dosák v prírodnej farbe dreva N obecné detské ihrisko 1965 m2 na tejto ploche navrhujeme ponechať </w:t>
                  </w:r>
                  <w:proofErr w:type="spellStart"/>
                  <w:r w:rsidRPr="003349F9">
                    <w:rPr>
                      <w:rFonts w:ascii="Tahoma" w:eastAsia="Times New Roman" w:hAnsi="Tahoma" w:cs="Tahoma"/>
                      <w:sz w:val="20"/>
                      <w:szCs w:val="20"/>
                      <w:bdr w:val="none" w:sz="0" w:space="0" w:color="auto" w:frame="1"/>
                      <w:lang w:eastAsia="sk-SK"/>
                    </w:rPr>
                    <w:t>existúce</w:t>
                  </w:r>
                  <w:proofErr w:type="spellEnd"/>
                  <w:r w:rsidRPr="003349F9">
                    <w:rPr>
                      <w:rFonts w:ascii="Tahoma" w:eastAsia="Times New Roman" w:hAnsi="Tahoma" w:cs="Tahoma"/>
                      <w:sz w:val="20"/>
                      <w:szCs w:val="20"/>
                      <w:bdr w:val="none" w:sz="0" w:space="0" w:color="auto" w:frame="1"/>
                      <w:lang w:eastAsia="sk-SK"/>
                    </w:rPr>
                    <w:t xml:space="preserve"> basketbalové ihrisko bez výraznejších úprav, zelené časti tejto zóny navrhujeme obnoviť a pretransformovať na </w:t>
                  </w:r>
                  <w:proofErr w:type="spellStart"/>
                  <w:r w:rsidRPr="003349F9">
                    <w:rPr>
                      <w:rFonts w:ascii="Tahoma" w:eastAsia="Times New Roman" w:hAnsi="Tahoma" w:cs="Tahoma"/>
                      <w:sz w:val="20"/>
                      <w:szCs w:val="20"/>
                      <w:bdr w:val="none" w:sz="0" w:space="0" w:color="auto" w:frame="1"/>
                      <w:lang w:eastAsia="sk-SK"/>
                    </w:rPr>
                    <w:t>oddchovo</w:t>
                  </w:r>
                  <w:proofErr w:type="spellEnd"/>
                  <w:r w:rsidRPr="003349F9">
                    <w:rPr>
                      <w:rFonts w:ascii="Tahoma" w:eastAsia="Times New Roman" w:hAnsi="Tahoma" w:cs="Tahoma"/>
                      <w:sz w:val="20"/>
                      <w:szCs w:val="20"/>
                      <w:bdr w:val="none" w:sz="0" w:space="0" w:color="auto" w:frame="1"/>
                      <w:lang w:eastAsia="sk-SK"/>
                    </w:rPr>
                    <w:t xml:space="preserve"> relaxačné </w:t>
                  </w:r>
                  <w:proofErr w:type="spellStart"/>
                  <w:r w:rsidRPr="003349F9">
                    <w:rPr>
                      <w:rFonts w:ascii="Tahoma" w:eastAsia="Times New Roman" w:hAnsi="Tahoma" w:cs="Tahoma"/>
                      <w:sz w:val="20"/>
                      <w:szCs w:val="20"/>
                      <w:bdr w:val="none" w:sz="0" w:space="0" w:color="auto" w:frame="1"/>
                      <w:lang w:eastAsia="sk-SK"/>
                    </w:rPr>
                    <w:t>mikrozóny</w:t>
                  </w:r>
                  <w:proofErr w:type="spellEnd"/>
                  <w:r w:rsidRPr="003349F9">
                    <w:rPr>
                      <w:rFonts w:ascii="Tahoma" w:eastAsia="Times New Roman" w:hAnsi="Tahoma" w:cs="Tahoma"/>
                      <w:sz w:val="20"/>
                      <w:szCs w:val="20"/>
                      <w:bdr w:val="none" w:sz="0" w:space="0" w:color="auto" w:frame="1"/>
                      <w:lang w:eastAsia="sk-SK"/>
                    </w:rPr>
                    <w:t>.</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lastRenderedPageBreak/>
                    <w:t>II.1.4.</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Spoločný slovník obstarávania (CPV)</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Hlavný predmet</w:t>
                  </w:r>
                  <w:r w:rsidRPr="003349F9">
                    <w:rPr>
                      <w:rFonts w:ascii="Tahoma" w:eastAsia="Times New Roman" w:hAnsi="Tahoma" w:cs="Tahoma"/>
                      <w:sz w:val="24"/>
                      <w:szCs w:val="24"/>
                      <w:lang w:eastAsia="sk-SK"/>
                    </w:rPr>
                    <w:br/>
                  </w:r>
                  <w:r w:rsidRPr="003349F9">
                    <w:rPr>
                      <w:rFonts w:ascii="Tahoma" w:eastAsia="Times New Roman" w:hAnsi="Tahoma" w:cs="Tahoma"/>
                      <w:sz w:val="18"/>
                      <w:szCs w:val="18"/>
                      <w:lang w:eastAsia="sk-SK"/>
                    </w:rPr>
                    <w:t>Hlavný slovník: 45000000-7.</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Doplňujúce predmety</w:t>
                  </w:r>
                  <w:r w:rsidRPr="003349F9">
                    <w:rPr>
                      <w:rFonts w:ascii="Tahoma" w:eastAsia="Times New Roman" w:hAnsi="Tahoma" w:cs="Tahoma"/>
                      <w:sz w:val="18"/>
                      <w:szCs w:val="18"/>
                      <w:lang w:eastAsia="sk-SK"/>
                    </w:rPr>
                    <w:br w:type="page"/>
                    <w:t>Hlavný slovník: 45236210-5, 45236230-1, 45236250-7.</w:t>
                  </w:r>
                  <w:r w:rsidRPr="003349F9">
                    <w:rPr>
                      <w:rFonts w:ascii="Tahoma" w:eastAsia="Times New Roman" w:hAnsi="Tahoma" w:cs="Tahoma"/>
                      <w:sz w:val="18"/>
                      <w:szCs w:val="18"/>
                      <w:lang w:eastAsia="sk-SK"/>
                    </w:rPr>
                    <w:br w:type="page"/>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Množstvo alebo rozsah zákazky</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II.2.1.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Celkové množstvo alebo rozsah</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20"/>
                      <w:szCs w:val="20"/>
                      <w:bdr w:val="none" w:sz="0" w:space="0" w:color="auto" w:frame="1"/>
                      <w:lang w:eastAsia="sk-SK"/>
                    </w:rPr>
                    <w:t>Podľa spracovanej projektovej dokumentácie.</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II.2.2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 xml:space="preserve">Predpokladaná hodnota zákazky bez DPH: </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Hodnota</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18"/>
                      <w:szCs w:val="18"/>
                      <w:lang w:eastAsia="sk-SK"/>
                    </w:rPr>
                    <w:t>50000,0000 EUR</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II.3.</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Trvanie zmluvy alebo lehota dodania</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Obdobie</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18"/>
                      <w:szCs w:val="18"/>
                      <w:lang w:eastAsia="sk-SK"/>
                    </w:rPr>
                    <w:t>v mesiacoch (od uzatvorenia zmluvy) .</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Hodnota</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18"/>
                      <w:szCs w:val="18"/>
                      <w:lang w:eastAsia="sk-SK"/>
                    </w:rPr>
                    <w:t>6</w:t>
                  </w:r>
                </w:p>
              </w:tc>
            </w:tr>
          </w:tbl>
          <w:p w:rsidR="003349F9" w:rsidRPr="003349F9" w:rsidRDefault="003349F9" w:rsidP="003349F9">
            <w:pPr>
              <w:spacing w:after="0" w:line="240" w:lineRule="auto"/>
              <w:rPr>
                <w:rFonts w:ascii="Tahoma" w:eastAsia="Times New Roman" w:hAnsi="Tahoma" w:cs="Tahoma"/>
                <w:b/>
                <w:bCs/>
                <w:sz w:val="21"/>
                <w:szCs w:val="21"/>
                <w:lang w:eastAsia="sk-SK"/>
              </w:rPr>
            </w:pPr>
          </w:p>
        </w:tc>
      </w:tr>
      <w:tr w:rsidR="003349F9" w:rsidRPr="003349F9" w:rsidTr="003349F9">
        <w:trPr>
          <w:trHeight w:val="150"/>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16"/>
                <w:szCs w:val="21"/>
                <w:lang w:eastAsia="sk-SK"/>
              </w:rPr>
            </w:pPr>
          </w:p>
        </w:tc>
      </w:tr>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21"/>
                <w:szCs w:val="21"/>
                <w:lang w:eastAsia="sk-SK"/>
              </w:rPr>
            </w:pPr>
            <w:r w:rsidRPr="003349F9">
              <w:rPr>
                <w:rFonts w:ascii="Tahoma" w:eastAsia="Times New Roman" w:hAnsi="Tahoma" w:cs="Tahoma"/>
                <w:b/>
                <w:bCs/>
                <w:sz w:val="21"/>
                <w:szCs w:val="21"/>
                <w:lang w:eastAsia="sk-SK"/>
              </w:rPr>
              <w:t xml:space="preserve">ODDIEL III. OSOBNÉ POSTAVENIE, EKONOMICKÉ, FINANČNÉ A TECHNICKÉ INFORMÁCIE </w:t>
            </w:r>
          </w:p>
          <w:tbl>
            <w:tblPr>
              <w:tblW w:w="5000" w:type="pct"/>
              <w:tblCellSpacing w:w="37" w:type="dxa"/>
              <w:tblCellMar>
                <w:left w:w="0" w:type="dxa"/>
                <w:right w:w="0" w:type="dxa"/>
              </w:tblCellMar>
              <w:tblLook w:val="04A0" w:firstRow="1" w:lastRow="0" w:firstColumn="1" w:lastColumn="0" w:noHBand="0" w:noVBand="1"/>
            </w:tblPr>
            <w:tblGrid>
              <w:gridCol w:w="771"/>
              <w:gridCol w:w="8919"/>
            </w:tblGrid>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III.1.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Podmienky účasti</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III.1.1.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Osobné postavenie</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Informácie a formálne náležitosti nevyhnutné na vyhodnotenie splnenia podmienok účasti</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 xml:space="preserve">Informácie a formálne náležitosti nevyhnutné na vyhodnotenie splnenia podmienok účasti: Uchádzač je povinný predložiť doklady preukazujúce splnenie podmienok účasti definované § 26 ods. 1 zákona č. 25/2006 </w:t>
                  </w:r>
                  <w:proofErr w:type="spellStart"/>
                  <w:r w:rsidRPr="003349F9">
                    <w:rPr>
                      <w:rFonts w:ascii="Tahoma" w:eastAsia="Times New Roman" w:hAnsi="Tahoma" w:cs="Tahoma"/>
                      <w:sz w:val="20"/>
                      <w:szCs w:val="20"/>
                      <w:bdr w:val="none" w:sz="0" w:space="0" w:color="auto" w:frame="1"/>
                      <w:lang w:eastAsia="sk-SK"/>
                    </w:rPr>
                    <w:t>Z.z</w:t>
                  </w:r>
                  <w:proofErr w:type="spellEnd"/>
                  <w:r w:rsidRPr="003349F9">
                    <w:rPr>
                      <w:rFonts w:ascii="Tahoma" w:eastAsia="Times New Roman" w:hAnsi="Tahoma" w:cs="Tahoma"/>
                      <w:sz w:val="20"/>
                      <w:szCs w:val="20"/>
                      <w:bdr w:val="none" w:sz="0" w:space="0" w:color="auto" w:frame="1"/>
                      <w:lang w:eastAsia="sk-SK"/>
                    </w:rPr>
                    <w:t>. o verejnom obstarávaní a o zmene a doplnení niektorých zákonov v znení neskorších predpisov (ďalej zákon) spôsobom podľa § 26 ods. 2, resp. 3 alebo 4 zákona. Uchádzač zapísaný v Zozname podnikateľov vedenom ÚVO môže doklady podľa § 26 ods. 2 nahradiť platným potvrdením o zapísaní do zoznamu podnikateľov podľa § 128 zákona. Lehoty platnosti dokladov určuje zákon. Uchádzač preukáže: a) 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 b) nebol on ani jeho štatutárny orgán, ani člen štatutárneho orgánu právoplatne odsúdený za trestný čin, ktorého skutková podstata súvisí s podnikaním, c) nie je voči nemu vedené konkurzné konanie, nie je v konkurze, v likvidácii, ani nebol proti nemu zamietnutý návrh na vyhlásenie konkurzu pre nedostatok majetku, d) nemá evidované nedoplatky poistného na zdravotné poistenie, sociálne poistenie a príspevkov na starobné dôchodkové sporenie, ktoré sa vymáhajú výkonom rozhodnutia, e) nemá evidované daňové nedoplatky, ktoré sa vymáhajú výkonom rozhodnutia, f) je oprávnený poskytovať službu.</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III.1.2.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Ekonomické a finančné postavenie</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Informácie a formálne náležitosti nevyhnutné na vyhodnotenie splnenia podmienok účasti</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 xml:space="preserve">Uchádzač v ponuke predloží nasledovné doklady, ktorými preukazuje svoje finančné a ekonomické postavenie: a) Účtovné výkazy za posledné tri roky za ktoré sú dostupné v závislosti od vzniku alebo začatia prevádzkovania činnosti, potvrdené miestne príslušným daňovým úradom. b) Prehľad o dosiahnutom obrate v oblasti, ktorej sa predmet zákazky týka, za posledné tri roky, za ktoré sú dostupné v závislosti od vzniku alebo začatia prevádzkovania činnosti. Prehľad bude spracovaný formou tabuľky s uvedením ročných obratov v oblasti predmetu zákazky a </w:t>
                  </w:r>
                  <w:proofErr w:type="spellStart"/>
                  <w:r w:rsidRPr="003349F9">
                    <w:rPr>
                      <w:rFonts w:ascii="Tahoma" w:eastAsia="Times New Roman" w:hAnsi="Tahoma" w:cs="Tahoma"/>
                      <w:sz w:val="20"/>
                      <w:szCs w:val="20"/>
                      <w:bdr w:val="none" w:sz="0" w:space="0" w:color="auto" w:frame="1"/>
                      <w:lang w:eastAsia="sk-SK"/>
                    </w:rPr>
                    <w:t>sumarizáciou</w:t>
                  </w:r>
                  <w:proofErr w:type="spellEnd"/>
                  <w:r w:rsidRPr="003349F9">
                    <w:rPr>
                      <w:rFonts w:ascii="Tahoma" w:eastAsia="Times New Roman" w:hAnsi="Tahoma" w:cs="Tahoma"/>
                      <w:sz w:val="20"/>
                      <w:szCs w:val="20"/>
                      <w:bdr w:val="none" w:sz="0" w:space="0" w:color="auto" w:frame="1"/>
                      <w:lang w:eastAsia="sk-SK"/>
                    </w:rPr>
                    <w:t xml:space="preserve"> obratu v tejto oblasti a bude potvrdený uchádzačom, jeho štatutárnym orgánom alebo osobou oprávnenou konať za uchádzača. c) Doklad preukazujúci schopnosť splácať krátkodobé záväzky. Na preukázanie tejto skutočnosti uchádzač zostaví prehľad vychádzajúci z účtovných dokladov za posledné uzatvorené účtovné obdobie, v ktorom uvedie hodnoty podľa vzorca: Čisté peňažné </w:t>
                  </w:r>
                  <w:r w:rsidRPr="003349F9">
                    <w:rPr>
                      <w:rFonts w:ascii="Tahoma" w:eastAsia="Times New Roman" w:hAnsi="Tahoma" w:cs="Tahoma"/>
                      <w:sz w:val="20"/>
                      <w:szCs w:val="20"/>
                      <w:bdr w:val="none" w:sz="0" w:space="0" w:color="auto" w:frame="1"/>
                      <w:lang w:eastAsia="sk-SK"/>
                    </w:rPr>
                    <w:lastRenderedPageBreak/>
                    <w:t>prostriedky = Finančné účty - Krátkodobé záväzky, pričom Finančné účty sú účty v bankách, peniaze a ceniny, Krátkodobé záväzky sú krátkodobé cudzie zdroje, krátkodobé bankové úvery a finančné výpomoci. Doklad bude potvrdený uchádzačom, jeho štatutárnym orgánom alebo osobou oprávnenou konať za uchádzača. d) Doklad preukazujúci zadlženosť uchádzača. Na preukázanie tejto skutočnosti uchádzač zostaví prehľad vychádzajúci z účtovných dokladov za posledné uzatvorené účtovné obdobie, v ktorom uvedie hodnoty podľa vzorca: Celková zadlženosť = Záväzky / Celkový majetok, pričom Záväzky = všetky krátkodobé záväzky, dlhodobé záväzky, bankové úvery a finančné výpomoci, Celkový majetok = všetok majetok uchádzača. Doklad bude potvrdený uchádzačom, jeho štatutárnym orgánom alebo osobou oprávnenou konať za uchádzača. Ak formálne účtovné výkazy uchádzača potvrdené daňovým úradom neuvádzajú niektorú z definovaných kategórií z ktorých sa vypočítavajú sledované ukazovatele, uchádzač predloží pomocné účtovné doklady z ktorých bude zrejmá ním deklarovaná skutočnosť. Ak nie je uvedené inak, doklady a dokumenty sa predkladajú ako originál alebo úradne osvedčená kópia.</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Minimálna požadovaná úroveň štandardov (ak je to uplatniteľné)</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K bodu b) Požaduje sa ročný obrat v hodnote min. 3 násobku predpokladanej hodnoty zákazky. K bodu c) Vyžaduje sa, aby hodnota vypočítaná podľa uvedeného spôsobu bola kladná. K bodu d) Vyžaduje sa, aby hodnota vypočítaná podľa uvedeného spôsobu bola menšia ako 0,65. Odôvodnenie podmienok: Na preukázanie finančného a ekonomického postavenia vyžaduje verejný obstarávateľ doklady, z ktorých sa dá zistiť záujemcova finančná situácia a stabilita vo vzťahu k spôsobilosti vykonávať obstarávané stavebné práce. K bodu b) Preukázanie dosiahnutia požadovanej výšky obratu v predmete zákazky je primerané vzhľadom na to, že za primerané sa považuje zvyčajne 2-3 násobok ročnej hodnoty zákazky pri zohľadnení trvania zmluvy, spôsobu financovania, čas potrebný na vykonanie obstarávanej činnosti, zložitosť, osobitosť a náročnosť predmetu zákazky. K bodu c) Preukázanie splnenia požadovaných podmienok schopnosti splácať svoje krátkodobé záväzky vyžaduje verejný obstarávateľ na ubezpečenie sa o dostatočnej finančnej stabilite a spôsobilosti uchádzača, nakoľko vzhľadom na spôsob financovania zákazky a dobu splatnosti faktúr je pri realizácii predmetu zákazky potrebné mať pripravené prostriedky na ich realizáciu. K bodu d) Preukázanie akceptovateľnej miery zadlženosti sa vyžaduje z dôvodu ubezpečenia sa o tom, že zmluva bude uzavretá s uchádzačom, ktorý je finančne stabilný. Ukazovateľ vyjadruje celkovú zadlženosť subjektu. Subjekty, ktoré majú zadlženosť vyššiu ako 65 %, vykazujú finančnú nestabilitu, pričom z podnikateľskej praxe je hodnota do 65 % akceptovaná ako akceptovateľná, vyššie hodnoty sa považujú za rizikové. Požadované hodnoty sú splniteľné, objektívne merateľné, nediskriminačné a uplatniteľné pre zistenie finančnej stability uchádzača ktorý môže mať akúkoľvek právnu formu. Keďže je vo verejnom záujme uzatvárať zmluvy iba so spôsobilými uchádzačmi, verejný obstarávateľ považuje tieto podmienky za oprávnené.</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III.1.3.</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Technická alebo odborná spôsobilosť</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Informácie a formálne náležitosti nevyhnutné na vyhodnotenie splnenia podmienok účasti</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Uchádzač v ponuke predloží nasledovné doklady, ktorými preukazuje svoju technickú spôsobilosť na dodanie predmetu obstarávania ako dôkazy, že v predchádzajúcom období bol schopný a technicky spôsobilý úspešne plniť zmluvy rovnakého alebo podobného charakteru ako zmluva, ktorá je požadovaná, resp. v súčasnom období je schopný a technicky spôsobilý riadne plniť takúto zmluvu. Požadovanú technickú spôsobilosť uchádzač preukáže: a) zoznamom stavebných prác uskutočnených za predchádzajúcich päť rokov doplneným potvrdeniami o uspokojivom vykonaní stavebných prác s uvedením cien, miest a lehôt uskutočnenia prác a zhodnotenia uskutočnených prác podľa obchodných podmienok, ak odberateľom - bol verejný obstarávateľ podľa tohto zákona, dôkaz o plnení potvrdí tento verejný obstarávateľ, - bola iná osoba ako verejný obstarávateľ, dôkaz o plnení potvrdí odberateľ; ak to nie je možné, vyhlásením uchádzača alebo záujemcu o ich uskutočnení, b) údajmi o vzdelaní a odbornej praxi alebo o odbornej kvalifikácii riadiacich zamestnancov, osobitne osôb zodpovedných za riadenie stavebných prác.</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Minimálna požadovaná úroveň štandardov (ak je to uplatniteľné)</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 xml:space="preserve">K bodu a) Požaduje sa minimálne 5 potvrdených referencií. K bodu b) Požaduje sa predloženie dokladov stavbyvedúceho - minimálne stredné odborné </w:t>
                  </w:r>
                  <w:proofErr w:type="spellStart"/>
                  <w:r w:rsidRPr="003349F9">
                    <w:rPr>
                      <w:rFonts w:ascii="Tahoma" w:eastAsia="Times New Roman" w:hAnsi="Tahoma" w:cs="Tahoma"/>
                      <w:sz w:val="20"/>
                      <w:szCs w:val="20"/>
                      <w:bdr w:val="none" w:sz="0" w:space="0" w:color="auto" w:frame="1"/>
                      <w:lang w:eastAsia="sk-SK"/>
                    </w:rPr>
                    <w:t>vydelanie</w:t>
                  </w:r>
                  <w:proofErr w:type="spellEnd"/>
                  <w:r w:rsidRPr="003349F9">
                    <w:rPr>
                      <w:rFonts w:ascii="Tahoma" w:eastAsia="Times New Roman" w:hAnsi="Tahoma" w:cs="Tahoma"/>
                      <w:sz w:val="20"/>
                      <w:szCs w:val="20"/>
                      <w:bdr w:val="none" w:sz="0" w:space="0" w:color="auto" w:frame="1"/>
                      <w:lang w:eastAsia="sk-SK"/>
                    </w:rPr>
                    <w:t xml:space="preserve"> v oblasti stavebníctva (predloží sa maturitné </w:t>
                  </w:r>
                  <w:proofErr w:type="spellStart"/>
                  <w:r w:rsidRPr="003349F9">
                    <w:rPr>
                      <w:rFonts w:ascii="Tahoma" w:eastAsia="Times New Roman" w:hAnsi="Tahoma" w:cs="Tahoma"/>
                      <w:sz w:val="20"/>
                      <w:szCs w:val="20"/>
                      <w:bdr w:val="none" w:sz="0" w:space="0" w:color="auto" w:frame="1"/>
                      <w:lang w:eastAsia="sk-SK"/>
                    </w:rPr>
                    <w:t>vzsvedčenie</w:t>
                  </w:r>
                  <w:proofErr w:type="spellEnd"/>
                  <w:r w:rsidRPr="003349F9">
                    <w:rPr>
                      <w:rFonts w:ascii="Tahoma" w:eastAsia="Times New Roman" w:hAnsi="Tahoma" w:cs="Tahoma"/>
                      <w:sz w:val="20"/>
                      <w:szCs w:val="20"/>
                      <w:bdr w:val="none" w:sz="0" w:space="0" w:color="auto" w:frame="1"/>
                      <w:lang w:eastAsia="sk-SK"/>
                    </w:rPr>
                    <w:t xml:space="preserve">, alebo diplom o ukončení VŠ vzdelanie I. alebo II. stupňa), minimálne 5 ročná prax potvrdená profesijným životopisom. Odôvodnenie podmienok: Požaduje sa preukázanie realizácie obdobných stavebných prác uchádzačom, aby bolo možné považovať uchádzača za spôsobilého predmet obstarávania zrealizovať. Odborná spôsobilosť stavbyvedúceho je nevyhnutnou podmienkou pre preukázanie odborných a </w:t>
                  </w:r>
                  <w:proofErr w:type="spellStart"/>
                  <w:r w:rsidRPr="003349F9">
                    <w:rPr>
                      <w:rFonts w:ascii="Tahoma" w:eastAsia="Times New Roman" w:hAnsi="Tahoma" w:cs="Tahoma"/>
                      <w:sz w:val="20"/>
                      <w:szCs w:val="20"/>
                      <w:bdr w:val="none" w:sz="0" w:space="0" w:color="auto" w:frame="1"/>
                      <w:lang w:eastAsia="sk-SK"/>
                    </w:rPr>
                    <w:t>kvbalifikačných</w:t>
                  </w:r>
                  <w:proofErr w:type="spellEnd"/>
                  <w:r w:rsidRPr="003349F9">
                    <w:rPr>
                      <w:rFonts w:ascii="Tahoma" w:eastAsia="Times New Roman" w:hAnsi="Tahoma" w:cs="Tahoma"/>
                      <w:sz w:val="20"/>
                      <w:szCs w:val="20"/>
                      <w:bdr w:val="none" w:sz="0" w:space="0" w:color="auto" w:frame="1"/>
                      <w:lang w:eastAsia="sk-SK"/>
                    </w:rPr>
                    <w:t xml:space="preserve"> predpokladov pre zvládnutie riadenia stavby.</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III.1.4.</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Vyhradené zákazky pre chránené dielne alebo chránené pracoviská</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Nie.</w:t>
                  </w:r>
                </w:p>
              </w:tc>
            </w:tr>
          </w:tbl>
          <w:p w:rsidR="003349F9" w:rsidRPr="003349F9" w:rsidRDefault="003349F9" w:rsidP="003349F9">
            <w:pPr>
              <w:spacing w:after="0" w:line="240" w:lineRule="auto"/>
              <w:rPr>
                <w:rFonts w:ascii="Tahoma" w:eastAsia="Times New Roman" w:hAnsi="Tahoma" w:cs="Tahoma"/>
                <w:b/>
                <w:bCs/>
                <w:sz w:val="21"/>
                <w:szCs w:val="21"/>
                <w:lang w:eastAsia="sk-SK"/>
              </w:rPr>
            </w:pPr>
          </w:p>
        </w:tc>
      </w:tr>
      <w:tr w:rsidR="003349F9" w:rsidRPr="003349F9" w:rsidTr="003349F9">
        <w:trPr>
          <w:trHeight w:val="150"/>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16"/>
                <w:szCs w:val="21"/>
                <w:lang w:eastAsia="sk-SK"/>
              </w:rPr>
            </w:pPr>
          </w:p>
        </w:tc>
      </w:tr>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21"/>
                <w:szCs w:val="21"/>
                <w:lang w:eastAsia="sk-SK"/>
              </w:rPr>
            </w:pPr>
            <w:r w:rsidRPr="003349F9">
              <w:rPr>
                <w:rFonts w:ascii="Tahoma" w:eastAsia="Times New Roman" w:hAnsi="Tahoma" w:cs="Tahoma"/>
                <w:b/>
                <w:bCs/>
                <w:sz w:val="21"/>
                <w:szCs w:val="21"/>
                <w:lang w:eastAsia="sk-SK"/>
              </w:rPr>
              <w:t xml:space="preserve">ODDIEL IV. POSTUP </w:t>
            </w:r>
          </w:p>
          <w:tbl>
            <w:tblPr>
              <w:tblW w:w="5000" w:type="pct"/>
              <w:tblCellSpacing w:w="37" w:type="dxa"/>
              <w:tblCellMar>
                <w:left w:w="0" w:type="dxa"/>
                <w:right w:w="0" w:type="dxa"/>
              </w:tblCellMar>
              <w:tblLook w:val="04A0" w:firstRow="1" w:lastRow="0" w:firstColumn="1" w:lastColumn="0" w:noHBand="0" w:noVBand="1"/>
            </w:tblPr>
            <w:tblGrid>
              <w:gridCol w:w="718"/>
              <w:gridCol w:w="8972"/>
            </w:tblGrid>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IV.1.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Kritériá na vyhodnotenie ponúk</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IV.1.1.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Kritériá na vyhodnotenie ponúk</w:t>
                  </w:r>
                  <w:r w:rsidRPr="003349F9">
                    <w:rPr>
                      <w:rFonts w:ascii="Tahoma" w:eastAsia="Times New Roman" w:hAnsi="Tahoma" w:cs="Tahoma"/>
                      <w:b/>
                      <w:bCs/>
                      <w:sz w:val="18"/>
                      <w:szCs w:val="18"/>
                      <w:lang w:eastAsia="sk-SK"/>
                    </w:rPr>
                    <w:br/>
                  </w:r>
                  <w:r w:rsidRPr="003349F9">
                    <w:rPr>
                      <w:rFonts w:ascii="Tahoma" w:eastAsia="Times New Roman" w:hAnsi="Tahoma" w:cs="Tahoma"/>
                      <w:sz w:val="18"/>
                      <w:szCs w:val="18"/>
                      <w:lang w:eastAsia="sk-SK"/>
                    </w:rPr>
                    <w:t>Najnižšia cena.</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IV.1.2.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Použije sa elektronická aukcia</w:t>
                  </w:r>
                  <w:r w:rsidRPr="003349F9">
                    <w:rPr>
                      <w:rFonts w:ascii="Tahoma" w:eastAsia="Times New Roman" w:hAnsi="Tahoma" w:cs="Tahoma"/>
                      <w:b/>
                      <w:bCs/>
                      <w:sz w:val="18"/>
                      <w:szCs w:val="18"/>
                      <w:lang w:eastAsia="sk-SK"/>
                    </w:rPr>
                    <w:br/>
                  </w:r>
                  <w:r w:rsidRPr="003349F9">
                    <w:rPr>
                      <w:rFonts w:ascii="Tahoma" w:eastAsia="Times New Roman" w:hAnsi="Tahoma" w:cs="Tahoma"/>
                      <w:sz w:val="18"/>
                      <w:szCs w:val="18"/>
                      <w:lang w:eastAsia="sk-SK"/>
                    </w:rPr>
                    <w:t>Nie.</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IV.2.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Administratívne informácie</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IV.2.1.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Evidenčné číslo spisu, ktoré pridelil verejný obstarávateľ/obstarávateľ</w:t>
                  </w:r>
                  <w:r w:rsidRPr="003349F9">
                    <w:rPr>
                      <w:rFonts w:ascii="Tahoma" w:eastAsia="Times New Roman" w:hAnsi="Tahoma" w:cs="Tahoma"/>
                      <w:b/>
                      <w:bCs/>
                      <w:sz w:val="18"/>
                      <w:szCs w:val="18"/>
                      <w:lang w:eastAsia="sk-SK"/>
                    </w:rPr>
                    <w:br/>
                  </w:r>
                  <w:r w:rsidRPr="003349F9">
                    <w:rPr>
                      <w:rFonts w:ascii="Tahoma" w:eastAsia="Times New Roman" w:hAnsi="Tahoma" w:cs="Tahoma"/>
                      <w:sz w:val="18"/>
                      <w:szCs w:val="18"/>
                      <w:lang w:eastAsia="sk-SK"/>
                    </w:rPr>
                    <w:t>VO 2012/01</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IV.2.2.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Podmienky na získanie súťažných podkladov a doplňujúcich dokumentov</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Lehota na prijímanie žiadostí o súťažné podklady alebo o prístup k dokumentom</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Dátum: 30. 1. 2012</w:t>
                  </w:r>
                  <w:r w:rsidR="00491ECF">
                    <w:rPr>
                      <w:rFonts w:ascii="Tahoma" w:eastAsia="Times New Roman" w:hAnsi="Tahoma" w:cs="Tahoma"/>
                      <w:sz w:val="18"/>
                      <w:szCs w:val="18"/>
                      <w:lang w:eastAsia="sk-SK"/>
                    </w:rPr>
                    <w:t xml:space="preserve"> Čas: 12</w:t>
                  </w:r>
                  <w:r w:rsidR="00491ECF" w:rsidRPr="003349F9">
                    <w:rPr>
                      <w:rFonts w:ascii="Tahoma" w:eastAsia="Times New Roman" w:hAnsi="Tahoma" w:cs="Tahoma"/>
                      <w:sz w:val="18"/>
                      <w:szCs w:val="18"/>
                      <w:lang w:eastAsia="sk-SK"/>
                    </w:rPr>
                    <w:t>.00 h.</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Úhrada za súťažné podklady</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18"/>
                      <w:szCs w:val="18"/>
                      <w:lang w:eastAsia="sk-SK"/>
                    </w:rPr>
                    <w:t>Nie.</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IV.2.3.</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Lehota na predkladanie ponúk</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 xml:space="preserve">Dátum: 15. 2. 2012. Čas: 10.00 h. </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IV.2.4.</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Podmienky otvárania ponúk</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 xml:space="preserve">Dátum: 15. 2. 2012. Čas: 10.30 h. </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Miesto</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PROUNION, a.s., Piaristická 2, 949 01 Nitra, 1. poschodie, pavilón B</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sz w:val="18"/>
                      <w:szCs w:val="18"/>
                      <w:lang w:eastAsia="sk-SK"/>
                    </w:rPr>
                    <w:t>Osoby oprávnené zúčastniť sa na otváraní ponúk</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Na otváraní obálok s ponukami sa môže zúčastniť každý uchádzač, ktorý predložil ponuku v lehote na predkladanie ponúk. 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preukazom totožnosti a splnomocnením na zastupovanie.</w:t>
                  </w:r>
                </w:p>
              </w:tc>
            </w:tr>
          </w:tbl>
          <w:p w:rsidR="003349F9" w:rsidRPr="003349F9" w:rsidRDefault="003349F9" w:rsidP="003349F9">
            <w:pPr>
              <w:spacing w:after="0" w:line="240" w:lineRule="auto"/>
              <w:rPr>
                <w:rFonts w:ascii="Tahoma" w:eastAsia="Times New Roman" w:hAnsi="Tahoma" w:cs="Tahoma"/>
                <w:b/>
                <w:bCs/>
                <w:sz w:val="21"/>
                <w:szCs w:val="21"/>
                <w:lang w:eastAsia="sk-SK"/>
              </w:rPr>
            </w:pPr>
          </w:p>
        </w:tc>
      </w:tr>
      <w:tr w:rsidR="003349F9" w:rsidRPr="003349F9" w:rsidTr="003349F9">
        <w:trPr>
          <w:trHeight w:val="150"/>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16"/>
                <w:szCs w:val="21"/>
                <w:lang w:eastAsia="sk-SK"/>
              </w:rPr>
            </w:pPr>
          </w:p>
        </w:tc>
      </w:tr>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21"/>
                <w:szCs w:val="21"/>
                <w:lang w:eastAsia="sk-SK"/>
              </w:rPr>
            </w:pPr>
            <w:r w:rsidRPr="003349F9">
              <w:rPr>
                <w:rFonts w:ascii="Tahoma" w:eastAsia="Times New Roman" w:hAnsi="Tahoma" w:cs="Tahoma"/>
                <w:b/>
                <w:bCs/>
                <w:sz w:val="21"/>
                <w:szCs w:val="21"/>
                <w:lang w:eastAsia="sk-SK"/>
              </w:rPr>
              <w:t xml:space="preserve">ODDIEL VI. DOPLŇUJÚCE INFORMÁCIE </w:t>
            </w:r>
          </w:p>
          <w:tbl>
            <w:tblPr>
              <w:tblW w:w="5000" w:type="pct"/>
              <w:tblCellSpacing w:w="37" w:type="dxa"/>
              <w:tblCellMar>
                <w:left w:w="0" w:type="dxa"/>
                <w:right w:w="0" w:type="dxa"/>
              </w:tblCellMar>
              <w:tblLook w:val="04A0" w:firstRow="1" w:lastRow="0" w:firstColumn="1" w:lastColumn="0" w:noHBand="0" w:noVBand="1"/>
            </w:tblPr>
            <w:tblGrid>
              <w:gridCol w:w="547"/>
              <w:gridCol w:w="9143"/>
            </w:tblGrid>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VI.1.</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Zákazka sa týka projektu /programu financovaného z fondov EÚ</w:t>
                  </w:r>
                  <w:r w:rsidRPr="003349F9">
                    <w:rPr>
                      <w:rFonts w:ascii="Tahoma" w:eastAsia="Times New Roman" w:hAnsi="Tahoma" w:cs="Tahoma"/>
                      <w:b/>
                      <w:bCs/>
                      <w:sz w:val="18"/>
                      <w:szCs w:val="18"/>
                      <w:lang w:eastAsia="sk-SK"/>
                    </w:rPr>
                    <w:br/>
                    <w:t>Áno</w:t>
                  </w:r>
                  <w:r w:rsidRPr="003349F9">
                    <w:rPr>
                      <w:rFonts w:ascii="Tahoma" w:eastAsia="Times New Roman" w:hAnsi="Tahoma" w:cs="Tahoma"/>
                      <w:sz w:val="18"/>
                      <w:szCs w:val="18"/>
                      <w:lang w:eastAsia="sk-SK"/>
                    </w:rPr>
                    <w:t>.</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caps/>
                      <w:sz w:val="18"/>
                      <w:szCs w:val="18"/>
                      <w:lang w:eastAsia="sk-SK"/>
                    </w:rPr>
                    <w:t>o</w:t>
                  </w:r>
                  <w:r w:rsidRPr="003349F9">
                    <w:rPr>
                      <w:rFonts w:ascii="Tahoma" w:eastAsia="Times New Roman" w:hAnsi="Tahoma" w:cs="Tahoma"/>
                      <w:sz w:val="18"/>
                      <w:szCs w:val="18"/>
                      <w:lang w:eastAsia="sk-SK"/>
                    </w:rPr>
                    <w:t>dkaz na projekt (projekty) a/alebo program (programy)</w:t>
                  </w:r>
                  <w:r w:rsidRPr="003349F9">
                    <w:rPr>
                      <w:rFonts w:ascii="Tahoma" w:eastAsia="Times New Roman" w:hAnsi="Tahoma" w:cs="Tahoma"/>
                      <w:b/>
                      <w:bCs/>
                      <w:sz w:val="18"/>
                      <w:szCs w:val="18"/>
                      <w:lang w:eastAsia="sk-SK"/>
                    </w:rPr>
                    <w:t xml:space="preserve">: </w:t>
                  </w:r>
                  <w:r w:rsidRPr="003349F9">
                    <w:rPr>
                      <w:rFonts w:ascii="Tahoma" w:eastAsia="Times New Roman" w:hAnsi="Tahoma" w:cs="Tahoma"/>
                      <w:sz w:val="20"/>
                      <w:szCs w:val="20"/>
                      <w:bdr w:val="none" w:sz="0" w:space="0" w:color="auto" w:frame="1"/>
                      <w:lang w:eastAsia="sk-SK"/>
                    </w:rPr>
                    <w:t xml:space="preserve">Predmet zákazky bude financovaný z prostriedkov z Programu rozvoja vidieka SR 2007 - 2013 v rámci implementácie Integrovanej stratégie rozvoja územia MAS OZ </w:t>
                  </w:r>
                  <w:proofErr w:type="spellStart"/>
                  <w:r w:rsidRPr="003349F9">
                    <w:rPr>
                      <w:rFonts w:ascii="Tahoma" w:eastAsia="Times New Roman" w:hAnsi="Tahoma" w:cs="Tahoma"/>
                      <w:sz w:val="20"/>
                      <w:szCs w:val="20"/>
                      <w:bdr w:val="none" w:sz="0" w:space="0" w:color="auto" w:frame="1"/>
                      <w:lang w:eastAsia="sk-SK"/>
                    </w:rPr>
                    <w:t>Mikroregión</w:t>
                  </w:r>
                  <w:proofErr w:type="spellEnd"/>
                  <w:r w:rsidRPr="003349F9">
                    <w:rPr>
                      <w:rFonts w:ascii="Tahoma" w:eastAsia="Times New Roman" w:hAnsi="Tahoma" w:cs="Tahoma"/>
                      <w:sz w:val="20"/>
                      <w:szCs w:val="20"/>
                      <w:bdr w:val="none" w:sz="0" w:space="0" w:color="auto" w:frame="1"/>
                      <w:lang w:eastAsia="sk-SK"/>
                    </w:rPr>
                    <w:t xml:space="preserve"> </w:t>
                  </w:r>
                  <w:proofErr w:type="spellStart"/>
                  <w:r w:rsidRPr="003349F9">
                    <w:rPr>
                      <w:rFonts w:ascii="Tahoma" w:eastAsia="Times New Roman" w:hAnsi="Tahoma" w:cs="Tahoma"/>
                      <w:sz w:val="20"/>
                      <w:szCs w:val="20"/>
                      <w:bdr w:val="none" w:sz="0" w:space="0" w:color="auto" w:frame="1"/>
                      <w:lang w:eastAsia="sk-SK"/>
                    </w:rPr>
                    <w:t>Radošinka</w:t>
                  </w:r>
                  <w:proofErr w:type="spellEnd"/>
                  <w:r w:rsidRPr="003349F9">
                    <w:rPr>
                      <w:rFonts w:ascii="Tahoma" w:eastAsia="Times New Roman" w:hAnsi="Tahoma" w:cs="Tahoma"/>
                      <w:sz w:val="20"/>
                      <w:szCs w:val="20"/>
                      <w:bdr w:val="none" w:sz="0" w:space="0" w:color="auto" w:frame="1"/>
                      <w:lang w:eastAsia="sk-SK"/>
                    </w:rPr>
                    <w:t>.</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VI.2.</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Ďalšie informácie</w:t>
                  </w:r>
                  <w:r w:rsidRPr="003349F9">
                    <w:rPr>
                      <w:rFonts w:ascii="Tahoma" w:eastAsia="Times New Roman" w:hAnsi="Tahoma" w:cs="Tahoma"/>
                      <w:b/>
                      <w:bCs/>
                      <w:sz w:val="18"/>
                      <w:szCs w:val="18"/>
                      <w:lang w:eastAsia="sk-SK"/>
                    </w:rPr>
                    <w:br/>
                  </w:r>
                  <w:r w:rsidRPr="003349F9">
                    <w:rPr>
                      <w:rFonts w:ascii="Tahoma" w:eastAsia="Times New Roman" w:hAnsi="Tahoma" w:cs="Tahoma"/>
                      <w:sz w:val="20"/>
                      <w:szCs w:val="20"/>
                      <w:bdr w:val="none" w:sz="0" w:space="0" w:color="auto" w:frame="1"/>
                      <w:lang w:eastAsia="sk-SK"/>
                    </w:rPr>
                    <w:t>Verejný obstarávateľ si vyhradzuje právo podpisu zmluvy a realizácie zákazky iba v prípade poskytnutia nenávratného finančného príspevku. Verejný obstarávateľ si vyhradzuje právo zmeny termínu realizácie.</w:t>
                  </w:r>
                </w:p>
              </w:tc>
            </w:tr>
            <w:tr w:rsidR="003349F9" w:rsidRPr="003349F9">
              <w:trPr>
                <w:tblCellSpacing w:w="37" w:type="dxa"/>
              </w:trPr>
              <w:tc>
                <w:tcPr>
                  <w:tcW w:w="225" w:type="dxa"/>
                  <w:hideMark/>
                </w:tcPr>
                <w:p w:rsidR="003349F9" w:rsidRPr="003349F9" w:rsidRDefault="003349F9" w:rsidP="003349F9">
                  <w:pPr>
                    <w:spacing w:after="0" w:line="240" w:lineRule="auto"/>
                    <w:rPr>
                      <w:rFonts w:ascii="Tahoma" w:eastAsia="Times New Roman" w:hAnsi="Tahoma" w:cs="Tahoma"/>
                      <w:b/>
                      <w:bCs/>
                      <w:sz w:val="18"/>
                      <w:szCs w:val="18"/>
                      <w:lang w:eastAsia="sk-SK"/>
                    </w:rPr>
                  </w:pPr>
                  <w:r w:rsidRPr="003349F9">
                    <w:rPr>
                      <w:rFonts w:ascii="Tahoma" w:eastAsia="Times New Roman" w:hAnsi="Tahoma" w:cs="Tahoma"/>
                      <w:b/>
                      <w:bCs/>
                      <w:sz w:val="18"/>
                      <w:szCs w:val="18"/>
                      <w:lang w:eastAsia="sk-SK"/>
                    </w:rPr>
                    <w:t>VI.3.</w:t>
                  </w:r>
                </w:p>
              </w:tc>
              <w:tc>
                <w:tcPr>
                  <w:tcW w:w="0" w:type="auto"/>
                  <w:vAlign w:val="center"/>
                  <w:hideMark/>
                </w:tcPr>
                <w:p w:rsidR="003349F9" w:rsidRPr="003349F9" w:rsidRDefault="003349F9" w:rsidP="003349F9">
                  <w:pPr>
                    <w:spacing w:after="0" w:line="240" w:lineRule="auto"/>
                    <w:rPr>
                      <w:rFonts w:ascii="Tahoma" w:eastAsia="Times New Roman" w:hAnsi="Tahoma" w:cs="Tahoma"/>
                      <w:sz w:val="24"/>
                      <w:szCs w:val="24"/>
                      <w:lang w:eastAsia="sk-SK"/>
                    </w:rPr>
                  </w:pPr>
                  <w:r w:rsidRPr="003349F9">
                    <w:rPr>
                      <w:rFonts w:ascii="Tahoma" w:eastAsia="Times New Roman" w:hAnsi="Tahoma" w:cs="Tahoma"/>
                      <w:b/>
                      <w:bCs/>
                      <w:sz w:val="18"/>
                      <w:szCs w:val="18"/>
                      <w:lang w:eastAsia="sk-SK"/>
                    </w:rPr>
                    <w:t>Dátum odoslania tejto výzvy</w:t>
                  </w:r>
                  <w:r w:rsidRPr="003349F9">
                    <w:rPr>
                      <w:rFonts w:ascii="Tahoma" w:eastAsia="Times New Roman" w:hAnsi="Tahoma" w:cs="Tahoma"/>
                      <w:b/>
                      <w:bCs/>
                      <w:sz w:val="18"/>
                      <w:szCs w:val="18"/>
                      <w:lang w:eastAsia="sk-SK"/>
                    </w:rPr>
                    <w:br/>
                  </w:r>
                  <w:r w:rsidR="00471741">
                    <w:rPr>
                      <w:rFonts w:ascii="Tahoma" w:eastAsia="Times New Roman" w:hAnsi="Tahoma" w:cs="Tahoma"/>
                      <w:sz w:val="18"/>
                      <w:szCs w:val="18"/>
                      <w:lang w:eastAsia="sk-SK"/>
                    </w:rPr>
                    <w:t>25</w:t>
                  </w:r>
                  <w:r w:rsidRPr="003349F9">
                    <w:rPr>
                      <w:rFonts w:ascii="Tahoma" w:eastAsia="Times New Roman" w:hAnsi="Tahoma" w:cs="Tahoma"/>
                      <w:sz w:val="18"/>
                      <w:szCs w:val="18"/>
                      <w:lang w:eastAsia="sk-SK"/>
                    </w:rPr>
                    <w:t>. 1. 2012</w:t>
                  </w:r>
                </w:p>
              </w:tc>
            </w:tr>
          </w:tbl>
          <w:p w:rsidR="003349F9" w:rsidRPr="003349F9" w:rsidRDefault="003349F9" w:rsidP="003349F9">
            <w:pPr>
              <w:spacing w:after="0" w:line="240" w:lineRule="auto"/>
              <w:rPr>
                <w:rFonts w:ascii="Tahoma" w:eastAsia="Times New Roman" w:hAnsi="Tahoma" w:cs="Tahoma"/>
                <w:b/>
                <w:bCs/>
                <w:sz w:val="21"/>
                <w:szCs w:val="21"/>
                <w:lang w:eastAsia="sk-SK"/>
              </w:rPr>
            </w:pPr>
          </w:p>
        </w:tc>
      </w:tr>
      <w:tr w:rsidR="003349F9" w:rsidRPr="003349F9" w:rsidTr="003349F9">
        <w:trPr>
          <w:tblCellSpacing w:w="15" w:type="dxa"/>
        </w:trPr>
        <w:tc>
          <w:tcPr>
            <w:tcW w:w="0" w:type="auto"/>
            <w:hideMark/>
          </w:tcPr>
          <w:p w:rsidR="003349F9" w:rsidRPr="003349F9" w:rsidRDefault="003349F9" w:rsidP="003349F9">
            <w:pPr>
              <w:spacing w:after="0" w:line="240" w:lineRule="auto"/>
              <w:rPr>
                <w:rFonts w:ascii="Tahoma" w:eastAsia="Times New Roman" w:hAnsi="Tahoma" w:cs="Tahoma"/>
                <w:b/>
                <w:bCs/>
                <w:sz w:val="21"/>
                <w:szCs w:val="21"/>
                <w:lang w:eastAsia="sk-SK"/>
              </w:rPr>
            </w:pPr>
          </w:p>
        </w:tc>
      </w:tr>
    </w:tbl>
    <w:p w:rsidR="00BF3407" w:rsidRDefault="00BF3407" w:rsidP="00491ECF">
      <w:pPr>
        <w:rPr>
          <w:rFonts w:ascii="Tahoma" w:hAnsi="Tahoma" w:cs="Tahoma"/>
          <w:sz w:val="18"/>
          <w:szCs w:val="18"/>
        </w:rPr>
      </w:pPr>
    </w:p>
    <w:p w:rsidR="00835FC8" w:rsidRDefault="00835FC8" w:rsidP="00491ECF">
      <w:pPr>
        <w:rPr>
          <w:rFonts w:ascii="Tahoma" w:hAnsi="Tahoma" w:cs="Tahoma"/>
          <w:sz w:val="18"/>
          <w:szCs w:val="18"/>
        </w:rPr>
      </w:pPr>
    </w:p>
    <w:p w:rsidR="00835FC8" w:rsidRDefault="00835FC8" w:rsidP="00491ECF">
      <w:pPr>
        <w:rPr>
          <w:rFonts w:ascii="Tahoma" w:hAnsi="Tahoma" w:cs="Tahoma"/>
          <w:sz w:val="18"/>
          <w:szCs w:val="18"/>
        </w:rPr>
      </w:pPr>
    </w:p>
    <w:p w:rsidR="00835FC8" w:rsidRPr="00835FC8" w:rsidRDefault="00835FC8" w:rsidP="00491ECF">
      <w:pPr>
        <w:rPr>
          <w:rFonts w:ascii="Tahoma" w:hAnsi="Tahoma" w:cs="Tahoma"/>
          <w:sz w:val="18"/>
          <w:szCs w:val="18"/>
        </w:rPr>
      </w:pPr>
      <w:bookmarkStart w:id="0" w:name="_GoBack"/>
      <w:bookmarkEnd w:id="0"/>
    </w:p>
    <w:p w:rsidR="00835FC8" w:rsidRPr="00835FC8" w:rsidRDefault="00835FC8" w:rsidP="00491ECF">
      <w:pPr>
        <w:rPr>
          <w:rFonts w:ascii="Tahoma" w:hAnsi="Tahoma" w:cs="Tahoma"/>
          <w:sz w:val="18"/>
          <w:szCs w:val="18"/>
        </w:rPr>
      </w:pPr>
      <w:r w:rsidRPr="00835FC8">
        <w:rPr>
          <w:rFonts w:ascii="Tahoma" w:hAnsi="Tahoma" w:cs="Tahoma"/>
          <w:sz w:val="18"/>
          <w:szCs w:val="18"/>
        </w:rPr>
        <w:t>.........................................</w:t>
      </w:r>
    </w:p>
    <w:p w:rsidR="00835FC8" w:rsidRPr="00835FC8" w:rsidRDefault="00835FC8" w:rsidP="00835FC8">
      <w:pPr>
        <w:pStyle w:val="Bezriadkovania"/>
        <w:rPr>
          <w:rFonts w:ascii="Tahoma" w:hAnsi="Tahoma" w:cs="Tahoma"/>
          <w:sz w:val="18"/>
          <w:szCs w:val="18"/>
        </w:rPr>
      </w:pPr>
      <w:r>
        <w:rPr>
          <w:rFonts w:ascii="Tahoma" w:hAnsi="Tahoma" w:cs="Tahoma"/>
          <w:sz w:val="18"/>
          <w:szCs w:val="18"/>
        </w:rPr>
        <w:t xml:space="preserve">            </w:t>
      </w:r>
      <w:r w:rsidRPr="00835FC8">
        <w:rPr>
          <w:rFonts w:ascii="Tahoma" w:hAnsi="Tahoma" w:cs="Tahoma"/>
          <w:sz w:val="18"/>
          <w:szCs w:val="18"/>
        </w:rPr>
        <w:t xml:space="preserve">Viliam </w:t>
      </w:r>
      <w:proofErr w:type="spellStart"/>
      <w:r w:rsidRPr="00835FC8">
        <w:rPr>
          <w:rFonts w:ascii="Tahoma" w:hAnsi="Tahoma" w:cs="Tahoma"/>
          <w:sz w:val="18"/>
          <w:szCs w:val="18"/>
        </w:rPr>
        <w:t>Búcora</w:t>
      </w:r>
      <w:proofErr w:type="spellEnd"/>
    </w:p>
    <w:p w:rsidR="00835FC8" w:rsidRPr="00835FC8" w:rsidRDefault="00835FC8" w:rsidP="00835FC8">
      <w:pPr>
        <w:pStyle w:val="Bezriadkovania"/>
        <w:rPr>
          <w:rFonts w:ascii="Tahoma" w:hAnsi="Tahoma" w:cs="Tahoma"/>
          <w:sz w:val="18"/>
          <w:szCs w:val="18"/>
        </w:rPr>
      </w:pPr>
      <w:r>
        <w:rPr>
          <w:rFonts w:ascii="Tahoma" w:hAnsi="Tahoma" w:cs="Tahoma"/>
          <w:sz w:val="18"/>
          <w:szCs w:val="18"/>
        </w:rPr>
        <w:t xml:space="preserve">            </w:t>
      </w:r>
      <w:r w:rsidRPr="00835FC8">
        <w:rPr>
          <w:rFonts w:ascii="Tahoma" w:hAnsi="Tahoma" w:cs="Tahoma"/>
          <w:sz w:val="18"/>
          <w:szCs w:val="18"/>
        </w:rPr>
        <w:t>starosta obce</w:t>
      </w:r>
    </w:p>
    <w:sectPr w:rsidR="00835FC8" w:rsidRPr="00835FC8" w:rsidSect="00491ECF">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F9"/>
    <w:rsid w:val="003349F9"/>
    <w:rsid w:val="00471741"/>
    <w:rsid w:val="00491ECF"/>
    <w:rsid w:val="00835FC8"/>
    <w:rsid w:val="00BF34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zov">
    <w:name w:val="nazov"/>
    <w:basedOn w:val="Predvolenpsmoodseku"/>
    <w:rsid w:val="003349F9"/>
    <w:rPr>
      <w:b/>
      <w:bCs/>
      <w:sz w:val="18"/>
      <w:szCs w:val="18"/>
    </w:rPr>
  </w:style>
  <w:style w:type="character" w:customStyle="1" w:styleId="podnazov">
    <w:name w:val="podnazov"/>
    <w:basedOn w:val="Predvolenpsmoodseku"/>
    <w:rsid w:val="003349F9"/>
    <w:rPr>
      <w:b w:val="0"/>
      <w:bCs w:val="0"/>
      <w:sz w:val="18"/>
      <w:szCs w:val="18"/>
    </w:rPr>
  </w:style>
  <w:style w:type="character" w:customStyle="1" w:styleId="hodnota">
    <w:name w:val="hodnota"/>
    <w:basedOn w:val="Predvolenpsmoodseku"/>
    <w:rsid w:val="003349F9"/>
    <w:rPr>
      <w:b w:val="0"/>
      <w:bCs w:val="0"/>
      <w:i w:val="0"/>
      <w:iCs w:val="0"/>
      <w:sz w:val="18"/>
      <w:szCs w:val="18"/>
    </w:rPr>
  </w:style>
  <w:style w:type="character" w:customStyle="1" w:styleId="pre">
    <w:name w:val="pre"/>
    <w:basedOn w:val="Predvolenpsmoodseku"/>
    <w:rsid w:val="003349F9"/>
  </w:style>
  <w:style w:type="paragraph" w:styleId="Bezriadkovania">
    <w:name w:val="No Spacing"/>
    <w:uiPriority w:val="1"/>
    <w:qFormat/>
    <w:rsid w:val="00835F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zov">
    <w:name w:val="nazov"/>
    <w:basedOn w:val="Predvolenpsmoodseku"/>
    <w:rsid w:val="003349F9"/>
    <w:rPr>
      <w:b/>
      <w:bCs/>
      <w:sz w:val="18"/>
      <w:szCs w:val="18"/>
    </w:rPr>
  </w:style>
  <w:style w:type="character" w:customStyle="1" w:styleId="podnazov">
    <w:name w:val="podnazov"/>
    <w:basedOn w:val="Predvolenpsmoodseku"/>
    <w:rsid w:val="003349F9"/>
    <w:rPr>
      <w:b w:val="0"/>
      <w:bCs w:val="0"/>
      <w:sz w:val="18"/>
      <w:szCs w:val="18"/>
    </w:rPr>
  </w:style>
  <w:style w:type="character" w:customStyle="1" w:styleId="hodnota">
    <w:name w:val="hodnota"/>
    <w:basedOn w:val="Predvolenpsmoodseku"/>
    <w:rsid w:val="003349F9"/>
    <w:rPr>
      <w:b w:val="0"/>
      <w:bCs w:val="0"/>
      <w:i w:val="0"/>
      <w:iCs w:val="0"/>
      <w:sz w:val="18"/>
      <w:szCs w:val="18"/>
    </w:rPr>
  </w:style>
  <w:style w:type="character" w:customStyle="1" w:styleId="pre">
    <w:name w:val="pre"/>
    <w:basedOn w:val="Predvolenpsmoodseku"/>
    <w:rsid w:val="003349F9"/>
  </w:style>
  <w:style w:type="paragraph" w:styleId="Bezriadkovania">
    <w:name w:val="No Spacing"/>
    <w:uiPriority w:val="1"/>
    <w:qFormat/>
    <w:rsid w:val="00835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2395</Words>
  <Characters>13657</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Gero</dc:creator>
  <cp:lastModifiedBy>Andrej Gero</cp:lastModifiedBy>
  <cp:revision>4</cp:revision>
  <dcterms:created xsi:type="dcterms:W3CDTF">2012-01-23T10:37:00Z</dcterms:created>
  <dcterms:modified xsi:type="dcterms:W3CDTF">2012-01-25T08:55:00Z</dcterms:modified>
</cp:coreProperties>
</file>